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C0C7" w14:textId="77777777" w:rsidR="003967A8" w:rsidRDefault="00B86E88">
      <w:pPr>
        <w:pStyle w:val="Heading1"/>
      </w:pPr>
      <w:bookmarkStart w:id="0" w:name="X62215db1cffc436a906565a05430b6571b46544"/>
      <w:r>
        <w:t>PR and Communications Consultancy Tender Brief</w:t>
      </w:r>
    </w:p>
    <w:p w14:paraId="2869C0C8" w14:textId="77777777" w:rsidR="003967A8" w:rsidRDefault="00B86E88">
      <w:pPr>
        <w:pStyle w:val="Heading2"/>
      </w:pPr>
      <w:bookmarkStart w:id="1" w:name="X97dc443e4e911bb23897a555ef1765a3cd5ed45"/>
      <w:r>
        <w:t>St Mark’s Church, Hamilton Terrace (Church of England)</w:t>
      </w:r>
    </w:p>
    <w:p w14:paraId="2869C0CA" w14:textId="77777777" w:rsidR="003967A8" w:rsidRDefault="00B86E88">
      <w:pPr>
        <w:pStyle w:val="Heading2"/>
      </w:pPr>
      <w:bookmarkStart w:id="2" w:name="introduction-and-contracting-authority"/>
      <w:bookmarkEnd w:id="1"/>
      <w:r>
        <w:t>1. Introduction and Contracting Authority</w:t>
      </w:r>
    </w:p>
    <w:p w14:paraId="7CBB68A1" w14:textId="781FA4F0" w:rsidR="002805CC" w:rsidRPr="002805CC" w:rsidRDefault="002805CC" w:rsidP="002805CC">
      <w:pPr>
        <w:pStyle w:val="BodyText"/>
        <w:rPr>
          <w:sz w:val="22"/>
          <w:szCs w:val="22"/>
          <w:lang w:val="en-GB"/>
        </w:rPr>
      </w:pPr>
      <w:r w:rsidRPr="002805CC">
        <w:rPr>
          <w:sz w:val="22"/>
          <w:szCs w:val="22"/>
          <w:lang w:val="en-GB"/>
        </w:rPr>
        <w:t>St Mark’s Church, Hamilton Terrace is a parish church within the Diocese of London</w:t>
      </w:r>
      <w:r w:rsidR="005B7EEA">
        <w:rPr>
          <w:sz w:val="22"/>
          <w:szCs w:val="22"/>
          <w:lang w:val="en-GB"/>
        </w:rPr>
        <w:t xml:space="preserve"> (L</w:t>
      </w:r>
      <w:r w:rsidR="00872191">
        <w:rPr>
          <w:sz w:val="22"/>
          <w:szCs w:val="22"/>
          <w:lang w:val="en-GB"/>
        </w:rPr>
        <w:t xml:space="preserve">ondon </w:t>
      </w:r>
      <w:r w:rsidR="005B7EEA">
        <w:rPr>
          <w:sz w:val="22"/>
          <w:szCs w:val="22"/>
          <w:lang w:val="en-GB"/>
        </w:rPr>
        <w:t>D</w:t>
      </w:r>
      <w:r w:rsidR="00872191">
        <w:rPr>
          <w:sz w:val="22"/>
          <w:szCs w:val="22"/>
          <w:lang w:val="en-GB"/>
        </w:rPr>
        <w:t xml:space="preserve">iocesan </w:t>
      </w:r>
      <w:r w:rsidR="005B7EEA">
        <w:rPr>
          <w:sz w:val="22"/>
          <w:szCs w:val="22"/>
          <w:lang w:val="en-GB"/>
        </w:rPr>
        <w:t>F</w:t>
      </w:r>
      <w:r w:rsidR="00872191">
        <w:rPr>
          <w:sz w:val="22"/>
          <w:szCs w:val="22"/>
          <w:lang w:val="en-GB"/>
        </w:rPr>
        <w:t>und - LDF</w:t>
      </w:r>
      <w:r w:rsidR="005B7EEA">
        <w:rPr>
          <w:sz w:val="22"/>
          <w:szCs w:val="22"/>
          <w:lang w:val="en-GB"/>
        </w:rPr>
        <w:t>)</w:t>
      </w:r>
      <w:r w:rsidRPr="002805CC">
        <w:rPr>
          <w:sz w:val="22"/>
          <w:szCs w:val="22"/>
          <w:lang w:val="en-GB"/>
        </w:rPr>
        <w:t xml:space="preserve"> and part of the Church of England. T</w:t>
      </w:r>
      <w:r w:rsidR="005B7EEA">
        <w:rPr>
          <w:sz w:val="22"/>
          <w:szCs w:val="22"/>
          <w:lang w:val="en-GB"/>
        </w:rPr>
        <w:t>he LDF</w:t>
      </w:r>
      <w:r w:rsidR="003D7330">
        <w:rPr>
          <w:sz w:val="22"/>
          <w:szCs w:val="22"/>
          <w:lang w:val="en-GB"/>
        </w:rPr>
        <w:t xml:space="preserve"> on behalf of the Parochial Church Council </w:t>
      </w:r>
      <w:r w:rsidR="00872191">
        <w:rPr>
          <w:sz w:val="22"/>
          <w:szCs w:val="22"/>
          <w:lang w:val="en-GB"/>
        </w:rPr>
        <w:t>(</w:t>
      </w:r>
      <w:r w:rsidR="00872191" w:rsidRPr="002805CC">
        <w:rPr>
          <w:sz w:val="22"/>
          <w:szCs w:val="22"/>
          <w:lang w:val="en-GB"/>
        </w:rPr>
        <w:t>is</w:t>
      </w:r>
      <w:r w:rsidRPr="002805CC">
        <w:rPr>
          <w:sz w:val="22"/>
          <w:szCs w:val="22"/>
          <w:lang w:val="en-GB"/>
        </w:rPr>
        <w:t xml:space="preserve"> the contracting authority for this tender and will be the legal body entering into any resulting contract.</w:t>
      </w:r>
    </w:p>
    <w:p w14:paraId="3CA9DEA7" w14:textId="59BAEEB8" w:rsidR="002805CC" w:rsidRPr="002805CC" w:rsidRDefault="002805CC" w:rsidP="002805CC">
      <w:pPr>
        <w:pStyle w:val="BodyText"/>
        <w:rPr>
          <w:sz w:val="22"/>
          <w:szCs w:val="22"/>
          <w:lang w:val="en-GB"/>
        </w:rPr>
      </w:pPr>
      <w:r w:rsidRPr="002805CC">
        <w:rPr>
          <w:sz w:val="22"/>
          <w:szCs w:val="22"/>
          <w:lang w:val="en-GB"/>
        </w:rPr>
        <w:t xml:space="preserve">The tender process is being managed on the PCC’s behalf by the </w:t>
      </w:r>
      <w:r w:rsidR="005B7EEA">
        <w:rPr>
          <w:sz w:val="22"/>
          <w:szCs w:val="22"/>
          <w:lang w:val="en-GB"/>
        </w:rPr>
        <w:t>LDF through the Project Board</w:t>
      </w:r>
      <w:r w:rsidRPr="002805CC">
        <w:rPr>
          <w:sz w:val="22"/>
          <w:szCs w:val="22"/>
          <w:lang w:val="en-GB"/>
        </w:rPr>
        <w:t>. The LDF is responsible for administering the procurement process in accordance with diocesan governance, financial controls, and Church of England procurement guidance.</w:t>
      </w:r>
    </w:p>
    <w:p w14:paraId="5BCF7160" w14:textId="77777777" w:rsidR="002805CC" w:rsidRPr="002805CC" w:rsidRDefault="002805CC" w:rsidP="002805CC">
      <w:pPr>
        <w:pStyle w:val="BodyText"/>
        <w:rPr>
          <w:sz w:val="22"/>
          <w:szCs w:val="22"/>
          <w:lang w:val="en-GB"/>
        </w:rPr>
      </w:pPr>
      <w:r w:rsidRPr="002805CC">
        <w:rPr>
          <w:sz w:val="22"/>
          <w:szCs w:val="22"/>
          <w:lang w:val="en-GB"/>
        </w:rPr>
        <w:t>Procurement is being conducted in line with the principles of transparency, proportionality, equal treatment, value for money, and good stewardship of charitable funds.</w:t>
      </w:r>
    </w:p>
    <w:p w14:paraId="2869C0CC" w14:textId="77777777" w:rsidR="003967A8" w:rsidRPr="00594279" w:rsidRDefault="00B86E88">
      <w:pPr>
        <w:pStyle w:val="BodyText"/>
        <w:rPr>
          <w:sz w:val="22"/>
          <w:szCs w:val="22"/>
        </w:rPr>
      </w:pPr>
      <w:r w:rsidRPr="00594279">
        <w:rPr>
          <w:sz w:val="22"/>
          <w:szCs w:val="22"/>
        </w:rPr>
        <w:t>This tender invites proposals from suitably qualified and experienced public relations and communications consultants or agencies to provide strategic, planning-led communications support for the restoration and redevelopment of St Mark’s Church.</w:t>
      </w:r>
    </w:p>
    <w:p w14:paraId="2869C0CE" w14:textId="77777777" w:rsidR="003967A8" w:rsidRDefault="00B86E88">
      <w:pPr>
        <w:pStyle w:val="Heading2"/>
      </w:pPr>
      <w:bookmarkStart w:id="3" w:name="background-and-context"/>
      <w:bookmarkEnd w:id="2"/>
      <w:r>
        <w:t>2. Background and Context</w:t>
      </w:r>
    </w:p>
    <w:p w14:paraId="2869C0CF" w14:textId="4132C5DA" w:rsidR="003967A8" w:rsidRPr="00594279" w:rsidRDefault="00B86E88">
      <w:pPr>
        <w:pStyle w:val="FirstParagraph"/>
        <w:rPr>
          <w:sz w:val="22"/>
          <w:szCs w:val="22"/>
        </w:rPr>
      </w:pPr>
      <w:r w:rsidRPr="00594279">
        <w:rPr>
          <w:sz w:val="22"/>
          <w:szCs w:val="22"/>
        </w:rPr>
        <w:t>In January 2023, St Mark’s, Hamilton Terrace suffered a devastating fire that destroyed much of its historic fabric and rendered the church unusable. St Mark’s is a Grade II</w:t>
      </w:r>
      <w:r w:rsidR="00DF5299">
        <w:rPr>
          <w:sz w:val="22"/>
          <w:szCs w:val="22"/>
        </w:rPr>
        <w:t>*</w:t>
      </w:r>
      <w:r w:rsidRPr="00594279">
        <w:rPr>
          <w:sz w:val="22"/>
          <w:szCs w:val="22"/>
        </w:rPr>
        <w:t xml:space="preserve"> listed building located in St John’s Wood, within the City of Westminster, and sits within a sensitive historic, residential</w:t>
      </w:r>
      <w:r w:rsidR="00333700">
        <w:rPr>
          <w:sz w:val="22"/>
          <w:szCs w:val="22"/>
        </w:rPr>
        <w:t xml:space="preserve"> </w:t>
      </w:r>
      <w:r w:rsidRPr="00594279">
        <w:rPr>
          <w:sz w:val="22"/>
          <w:szCs w:val="22"/>
        </w:rPr>
        <w:t>context.</w:t>
      </w:r>
    </w:p>
    <w:p w14:paraId="2869C0D0" w14:textId="613EE47C" w:rsidR="003967A8" w:rsidRPr="00594279" w:rsidRDefault="00B86E88">
      <w:pPr>
        <w:pStyle w:val="BodyText"/>
        <w:rPr>
          <w:sz w:val="22"/>
          <w:szCs w:val="22"/>
        </w:rPr>
      </w:pPr>
      <w:r w:rsidRPr="00594279">
        <w:rPr>
          <w:sz w:val="22"/>
          <w:szCs w:val="22"/>
        </w:rPr>
        <w:t xml:space="preserve">Since the fire, the </w:t>
      </w:r>
      <w:proofErr w:type="gramStart"/>
      <w:r w:rsidR="0032431A">
        <w:rPr>
          <w:sz w:val="22"/>
          <w:szCs w:val="22"/>
        </w:rPr>
        <w:t>LDF</w:t>
      </w:r>
      <w:proofErr w:type="gramEnd"/>
      <w:r w:rsidR="0032431A">
        <w:rPr>
          <w:sz w:val="22"/>
          <w:szCs w:val="22"/>
        </w:rPr>
        <w:t xml:space="preserve"> through the Project Board</w:t>
      </w:r>
      <w:r w:rsidR="002805CC">
        <w:rPr>
          <w:sz w:val="22"/>
          <w:szCs w:val="22"/>
        </w:rPr>
        <w:t>,</w:t>
      </w:r>
      <w:r w:rsidRPr="00594279">
        <w:rPr>
          <w:sz w:val="22"/>
          <w:szCs w:val="22"/>
        </w:rPr>
        <w:t xml:space="preserve"> specialist professional advisers, and statutory authorities, has been developing proposals to restore and redevelop the church. The project will require planning permission</w:t>
      </w:r>
      <w:r w:rsidR="00F1383A">
        <w:rPr>
          <w:sz w:val="22"/>
          <w:szCs w:val="22"/>
        </w:rPr>
        <w:t>, Ecclesiastical Faculty consent</w:t>
      </w:r>
      <w:r w:rsidRPr="00594279">
        <w:rPr>
          <w:sz w:val="22"/>
          <w:szCs w:val="22"/>
        </w:rPr>
        <w:t xml:space="preserve"> and </w:t>
      </w:r>
      <w:r w:rsidR="00F1383A">
        <w:rPr>
          <w:sz w:val="22"/>
          <w:szCs w:val="22"/>
        </w:rPr>
        <w:t xml:space="preserve">may require </w:t>
      </w:r>
      <w:r w:rsidRPr="00594279">
        <w:rPr>
          <w:sz w:val="22"/>
          <w:szCs w:val="22"/>
        </w:rPr>
        <w:t>listed building consent and will be subject to extensive public consultation, statutory scrutiny</w:t>
      </w:r>
      <w:r w:rsidR="00F1383A">
        <w:rPr>
          <w:sz w:val="22"/>
          <w:szCs w:val="22"/>
        </w:rPr>
        <w:t xml:space="preserve"> </w:t>
      </w:r>
      <w:r w:rsidRPr="00594279">
        <w:rPr>
          <w:sz w:val="22"/>
          <w:szCs w:val="22"/>
        </w:rPr>
        <w:t>and potential media interest.</w:t>
      </w:r>
    </w:p>
    <w:p w14:paraId="2869C0D1" w14:textId="09A1F697" w:rsidR="003967A8" w:rsidRPr="00594279" w:rsidRDefault="00B86E88">
      <w:pPr>
        <w:pStyle w:val="BodyText"/>
        <w:rPr>
          <w:sz w:val="22"/>
          <w:szCs w:val="22"/>
        </w:rPr>
      </w:pPr>
      <w:r w:rsidRPr="00594279">
        <w:rPr>
          <w:sz w:val="22"/>
          <w:szCs w:val="22"/>
        </w:rPr>
        <w:t xml:space="preserve">The redevelopment proposals are ambitious and </w:t>
      </w:r>
      <w:proofErr w:type="gramStart"/>
      <w:r w:rsidRPr="005530CD">
        <w:rPr>
          <w:sz w:val="22"/>
          <w:szCs w:val="22"/>
          <w:lang w:val="en-GB"/>
        </w:rPr>
        <w:t>future-focused</w:t>
      </w:r>
      <w:proofErr w:type="gramEnd"/>
      <w:r w:rsidRPr="00594279">
        <w:rPr>
          <w:sz w:val="22"/>
          <w:szCs w:val="22"/>
        </w:rPr>
        <w:t>. They aim to deliver an accessible, adaptable, and environmentally responsible complex</w:t>
      </w:r>
      <w:r w:rsidR="004B4FA7">
        <w:rPr>
          <w:sz w:val="22"/>
          <w:szCs w:val="22"/>
        </w:rPr>
        <w:t xml:space="preserve"> that meet</w:t>
      </w:r>
      <w:r w:rsidR="00F1383A">
        <w:rPr>
          <w:sz w:val="22"/>
          <w:szCs w:val="22"/>
        </w:rPr>
        <w:t>s</w:t>
      </w:r>
      <w:r w:rsidR="004B4FA7">
        <w:rPr>
          <w:sz w:val="22"/>
          <w:szCs w:val="22"/>
        </w:rPr>
        <w:t xml:space="preserve"> the Church of England’s Net Zero Carbon</w:t>
      </w:r>
      <w:r w:rsidR="00C71B93">
        <w:rPr>
          <w:sz w:val="22"/>
          <w:szCs w:val="22"/>
        </w:rPr>
        <w:t xml:space="preserve"> </w:t>
      </w:r>
      <w:r w:rsidR="001A5243">
        <w:rPr>
          <w:sz w:val="22"/>
          <w:szCs w:val="22"/>
        </w:rPr>
        <w:t>2030 target. The church will</w:t>
      </w:r>
      <w:r w:rsidRPr="00594279">
        <w:rPr>
          <w:sz w:val="22"/>
          <w:szCs w:val="22"/>
        </w:rPr>
        <w:t xml:space="preserve"> function as:</w:t>
      </w:r>
    </w:p>
    <w:p w14:paraId="2869C0D2" w14:textId="77777777" w:rsidR="003967A8" w:rsidRPr="00594279" w:rsidRDefault="00B86E88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594279">
        <w:rPr>
          <w:sz w:val="22"/>
          <w:szCs w:val="22"/>
        </w:rPr>
        <w:t>A place of Christian worship and spiritual formation</w:t>
      </w:r>
    </w:p>
    <w:p w14:paraId="2869C0D3" w14:textId="77777777" w:rsidR="003967A8" w:rsidRPr="00594279" w:rsidRDefault="00B86E88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594279">
        <w:rPr>
          <w:sz w:val="22"/>
          <w:szCs w:val="22"/>
        </w:rPr>
        <w:t>A welcoming hub for community activity and social connection</w:t>
      </w:r>
    </w:p>
    <w:p w14:paraId="2869C0D4" w14:textId="77777777" w:rsidR="003967A8" w:rsidRPr="00594279" w:rsidRDefault="00B86E88">
      <w:pPr>
        <w:pStyle w:val="Compact"/>
        <w:numPr>
          <w:ilvl w:val="0"/>
          <w:numId w:val="2"/>
        </w:numPr>
        <w:rPr>
          <w:sz w:val="22"/>
          <w:szCs w:val="22"/>
        </w:rPr>
      </w:pPr>
      <w:r w:rsidRPr="00594279">
        <w:rPr>
          <w:sz w:val="22"/>
          <w:szCs w:val="22"/>
        </w:rPr>
        <w:t>A base for outreach, service, and partnership with local organisations</w:t>
      </w:r>
    </w:p>
    <w:p w14:paraId="2869C0D5" w14:textId="77777777" w:rsidR="003967A8" w:rsidRPr="00594279" w:rsidRDefault="00B86E88">
      <w:pPr>
        <w:pStyle w:val="FirstParagraph"/>
        <w:rPr>
          <w:sz w:val="22"/>
          <w:szCs w:val="22"/>
        </w:rPr>
      </w:pPr>
      <w:r w:rsidRPr="00594279">
        <w:rPr>
          <w:sz w:val="22"/>
          <w:szCs w:val="22"/>
        </w:rPr>
        <w:t xml:space="preserve">The project is rooted in the Christian commitment to love of God and </w:t>
      </w:r>
      <w:proofErr w:type="spellStart"/>
      <w:r w:rsidRPr="00594279">
        <w:rPr>
          <w:sz w:val="22"/>
          <w:szCs w:val="22"/>
        </w:rPr>
        <w:t>neighbour</w:t>
      </w:r>
      <w:proofErr w:type="spellEnd"/>
      <w:r w:rsidRPr="00594279">
        <w:rPr>
          <w:sz w:val="22"/>
          <w:szCs w:val="22"/>
        </w:rPr>
        <w:t xml:space="preserve"> and seeks to renew St Mark’s mission and presence in St John’s Wood and the wider borough of Westminster for generations to come.</w:t>
      </w:r>
    </w:p>
    <w:p w14:paraId="2869C0D6" w14:textId="6BC3BA44" w:rsidR="003967A8" w:rsidRPr="00594279" w:rsidRDefault="00B86E88">
      <w:pPr>
        <w:pStyle w:val="BodyText"/>
        <w:rPr>
          <w:sz w:val="22"/>
          <w:szCs w:val="22"/>
        </w:rPr>
      </w:pPr>
      <w:r w:rsidRPr="00594279">
        <w:rPr>
          <w:sz w:val="22"/>
          <w:szCs w:val="22"/>
        </w:rPr>
        <w:lastRenderedPageBreak/>
        <w:t xml:space="preserve">Given the heritage, planning, and </w:t>
      </w:r>
      <w:r w:rsidR="00134AF0">
        <w:rPr>
          <w:sz w:val="22"/>
          <w:szCs w:val="22"/>
        </w:rPr>
        <w:t>ecclesiastical</w:t>
      </w:r>
      <w:r w:rsidRPr="00594279">
        <w:rPr>
          <w:sz w:val="22"/>
          <w:szCs w:val="22"/>
        </w:rPr>
        <w:t xml:space="preserve"> sensitivities, communications must be </w:t>
      </w:r>
      <w:r w:rsidR="00134AF0">
        <w:rPr>
          <w:sz w:val="22"/>
          <w:szCs w:val="22"/>
        </w:rPr>
        <w:t xml:space="preserve">aspirational, </w:t>
      </w:r>
      <w:r w:rsidRPr="00594279">
        <w:rPr>
          <w:sz w:val="22"/>
          <w:szCs w:val="22"/>
        </w:rPr>
        <w:t xml:space="preserve">accurate, evidence-based, measured in tone, and carefully managed to support constructive engagement with residents, </w:t>
      </w:r>
      <w:proofErr w:type="spellStart"/>
      <w:r w:rsidRPr="00594279">
        <w:rPr>
          <w:sz w:val="22"/>
          <w:szCs w:val="22"/>
        </w:rPr>
        <w:t>councillors</w:t>
      </w:r>
      <w:proofErr w:type="spellEnd"/>
      <w:r w:rsidRPr="00594279">
        <w:rPr>
          <w:sz w:val="22"/>
          <w:szCs w:val="22"/>
        </w:rPr>
        <w:t>, amenity societies, heritage bodies, and Westminster City Council.</w:t>
      </w:r>
    </w:p>
    <w:p w14:paraId="6F12C7A4" w14:textId="6BFB7964" w:rsidR="005537A6" w:rsidRDefault="005537A6" w:rsidP="000018C4">
      <w:pPr>
        <w:pStyle w:val="Heading3"/>
      </w:pPr>
      <w:r>
        <w:t>About the London Diocesan Fund</w:t>
      </w:r>
    </w:p>
    <w:p w14:paraId="0CD277E2" w14:textId="77777777" w:rsidR="000018C4" w:rsidRPr="006A1C7F" w:rsidRDefault="000018C4" w:rsidP="000018C4">
      <w:pPr>
        <w:rPr>
          <w:sz w:val="22"/>
          <w:szCs w:val="22"/>
        </w:rPr>
      </w:pPr>
      <w:r w:rsidRPr="006A1C7F">
        <w:rPr>
          <w:sz w:val="22"/>
          <w:szCs w:val="22"/>
        </w:rPr>
        <w:t xml:space="preserve">The London Diocesan Fund (LDF) is the central office of the diocese, and exists to support churches, church leaders, worshipping communities and chaplaincies in the Diocese of London. </w:t>
      </w:r>
    </w:p>
    <w:p w14:paraId="014DC9BC" w14:textId="77777777" w:rsidR="000018C4" w:rsidRPr="006A1C7F" w:rsidRDefault="000018C4" w:rsidP="000018C4">
      <w:pPr>
        <w:rPr>
          <w:sz w:val="22"/>
          <w:szCs w:val="22"/>
        </w:rPr>
      </w:pPr>
      <w:r w:rsidRPr="006A1C7F">
        <w:rPr>
          <w:sz w:val="22"/>
          <w:szCs w:val="22"/>
        </w:rPr>
        <w:t xml:space="preserve">The support ranges from church management (finance and fundraising, church governance and annual meetings) to guidance on running compassion ministries (foodbanks and homeless shelters). </w:t>
      </w:r>
    </w:p>
    <w:p w14:paraId="4C325EE1" w14:textId="3C9E2ADA" w:rsidR="004E0F18" w:rsidRDefault="000018C4" w:rsidP="004E0F18">
      <w:pPr>
        <w:rPr>
          <w:sz w:val="22"/>
          <w:szCs w:val="22"/>
          <w:lang w:val="en-GB"/>
        </w:rPr>
      </w:pPr>
      <w:r w:rsidRPr="006A1C7F">
        <w:rPr>
          <w:sz w:val="22"/>
          <w:szCs w:val="22"/>
        </w:rPr>
        <w:t>Most churches have a paid member of clergy – a priest – who is paid, housed and trained by the London Diocesan Fund (LDF</w:t>
      </w:r>
      <w:r w:rsidRPr="009D3B21">
        <w:rPr>
          <w:sz w:val="22"/>
          <w:szCs w:val="22"/>
        </w:rPr>
        <w:t>).</w:t>
      </w:r>
      <w:r w:rsidR="004E0F18">
        <w:rPr>
          <w:sz w:val="22"/>
          <w:szCs w:val="22"/>
        </w:rPr>
        <w:t xml:space="preserve"> A new incumbent, who also holds the incumbency of a </w:t>
      </w:r>
      <w:proofErr w:type="spellStart"/>
      <w:r w:rsidR="004E0F18">
        <w:rPr>
          <w:sz w:val="22"/>
          <w:szCs w:val="22"/>
        </w:rPr>
        <w:t>neighbouring</w:t>
      </w:r>
      <w:proofErr w:type="spellEnd"/>
      <w:r w:rsidR="004E0F18">
        <w:rPr>
          <w:sz w:val="22"/>
          <w:szCs w:val="22"/>
        </w:rPr>
        <w:t xml:space="preserve"> parish, will be leading the visioning process for the renewed St Mark’s, alongside a clergy colleague who will be ensuring continuity </w:t>
      </w:r>
      <w:r w:rsidR="009D3B21" w:rsidRPr="004E618E">
        <w:rPr>
          <w:sz w:val="22"/>
          <w:szCs w:val="22"/>
          <w:lang w:val="en-GB"/>
        </w:rPr>
        <w:t>of worship, pastoral care, and parish life</w:t>
      </w:r>
      <w:r w:rsidR="004E0F18">
        <w:rPr>
          <w:sz w:val="22"/>
          <w:szCs w:val="22"/>
          <w:lang w:val="en-GB"/>
        </w:rPr>
        <w:t>.</w:t>
      </w:r>
    </w:p>
    <w:p w14:paraId="2869C0D8" w14:textId="77777777" w:rsidR="003967A8" w:rsidRDefault="00B86E88" w:rsidP="009D3B21">
      <w:bookmarkStart w:id="4" w:name="purpose-of-the-commission"/>
      <w:bookmarkEnd w:id="3"/>
      <w:r>
        <w:t>3. Purpose of the Commission</w:t>
      </w:r>
    </w:p>
    <w:p w14:paraId="2869C0D9" w14:textId="77777777" w:rsidR="003967A8" w:rsidRPr="0040269B" w:rsidRDefault="00B86E88">
      <w:pPr>
        <w:pStyle w:val="FirstParagraph"/>
        <w:rPr>
          <w:sz w:val="22"/>
          <w:szCs w:val="22"/>
        </w:rPr>
      </w:pPr>
      <w:r w:rsidRPr="0040269B">
        <w:rPr>
          <w:sz w:val="22"/>
          <w:szCs w:val="22"/>
        </w:rPr>
        <w:t>The purpose of this commission is to appoint a PR and communications consultant who will work collaboratively with the PCC, clergy, project team, Diocese of London, and professional advisers to:</w:t>
      </w:r>
    </w:p>
    <w:p w14:paraId="2869C0DA" w14:textId="77777777" w:rsidR="003967A8" w:rsidRPr="0040269B" w:rsidRDefault="00B86E88">
      <w:pPr>
        <w:pStyle w:val="Compact"/>
        <w:numPr>
          <w:ilvl w:val="0"/>
          <w:numId w:val="3"/>
        </w:numPr>
        <w:rPr>
          <w:sz w:val="22"/>
          <w:szCs w:val="22"/>
        </w:rPr>
      </w:pPr>
      <w:r w:rsidRPr="0040269B">
        <w:rPr>
          <w:sz w:val="22"/>
          <w:szCs w:val="22"/>
        </w:rPr>
        <w:t>Develop, secure approval for, and deliver a comprehensive communications and public relations strategy</w:t>
      </w:r>
    </w:p>
    <w:p w14:paraId="2869C0DB" w14:textId="703D22CE" w:rsidR="003967A8" w:rsidRPr="0040269B" w:rsidRDefault="006C023A">
      <w:pPr>
        <w:pStyle w:val="Compac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Provide communications support for the </w:t>
      </w:r>
      <w:r w:rsidR="00B86E88" w:rsidRPr="0040269B">
        <w:rPr>
          <w:sz w:val="22"/>
          <w:szCs w:val="22"/>
        </w:rPr>
        <w:t xml:space="preserve">planning and listed </w:t>
      </w:r>
      <w:r w:rsidR="00872191" w:rsidRPr="0040269B">
        <w:rPr>
          <w:sz w:val="22"/>
          <w:szCs w:val="22"/>
        </w:rPr>
        <w:t>building</w:t>
      </w:r>
      <w:r w:rsidR="00872191">
        <w:rPr>
          <w:sz w:val="22"/>
          <w:szCs w:val="22"/>
        </w:rPr>
        <w:t xml:space="preserve"> </w:t>
      </w:r>
      <w:r w:rsidR="00872191" w:rsidRPr="0040269B">
        <w:rPr>
          <w:sz w:val="22"/>
          <w:szCs w:val="22"/>
        </w:rPr>
        <w:t>process</w:t>
      </w:r>
    </w:p>
    <w:p w14:paraId="2869C0DC" w14:textId="77777777" w:rsidR="003967A8" w:rsidRPr="0040269B" w:rsidRDefault="00B86E88">
      <w:pPr>
        <w:pStyle w:val="Compact"/>
        <w:numPr>
          <w:ilvl w:val="0"/>
          <w:numId w:val="3"/>
        </w:numPr>
        <w:rPr>
          <w:sz w:val="22"/>
          <w:szCs w:val="22"/>
        </w:rPr>
      </w:pPr>
      <w:r w:rsidRPr="0040269B">
        <w:rPr>
          <w:sz w:val="22"/>
          <w:szCs w:val="22"/>
        </w:rPr>
        <w:t xml:space="preserve">Manage community, </w:t>
      </w:r>
      <w:proofErr w:type="gramStart"/>
      <w:r w:rsidRPr="0040269B">
        <w:rPr>
          <w:sz w:val="22"/>
          <w:szCs w:val="22"/>
        </w:rPr>
        <w:t>political</w:t>
      </w:r>
      <w:proofErr w:type="gramEnd"/>
      <w:r w:rsidRPr="0040269B">
        <w:rPr>
          <w:sz w:val="22"/>
          <w:szCs w:val="22"/>
        </w:rPr>
        <w:t>, media, and reputational risk</w:t>
      </w:r>
    </w:p>
    <w:p w14:paraId="2869C0DD" w14:textId="77777777" w:rsidR="003967A8" w:rsidRPr="0040269B" w:rsidRDefault="00B86E88">
      <w:pPr>
        <w:pStyle w:val="Compact"/>
        <w:numPr>
          <w:ilvl w:val="0"/>
          <w:numId w:val="3"/>
        </w:numPr>
        <w:rPr>
          <w:sz w:val="22"/>
          <w:szCs w:val="22"/>
        </w:rPr>
      </w:pPr>
      <w:r w:rsidRPr="0040269B">
        <w:rPr>
          <w:sz w:val="22"/>
          <w:szCs w:val="22"/>
        </w:rPr>
        <w:t>Build understanding, confidence, and goodwill among stakeholders</w:t>
      </w:r>
    </w:p>
    <w:p w14:paraId="2869C0DF" w14:textId="77777777" w:rsidR="003967A8" w:rsidRPr="0040269B" w:rsidRDefault="00B86E88">
      <w:pPr>
        <w:pStyle w:val="Compact"/>
        <w:numPr>
          <w:ilvl w:val="0"/>
          <w:numId w:val="3"/>
        </w:numPr>
        <w:rPr>
          <w:sz w:val="22"/>
          <w:szCs w:val="22"/>
        </w:rPr>
      </w:pPr>
      <w:r w:rsidRPr="0040269B">
        <w:rPr>
          <w:sz w:val="22"/>
          <w:szCs w:val="22"/>
        </w:rPr>
        <w:t>Ensure communications align with Church of England values, governance, and safeguarding expectations</w:t>
      </w:r>
    </w:p>
    <w:p w14:paraId="2869C0E1" w14:textId="77777777" w:rsidR="003967A8" w:rsidRDefault="00B86E88">
      <w:pPr>
        <w:pStyle w:val="Heading2"/>
      </w:pPr>
      <w:bookmarkStart w:id="5" w:name="project-aims-and-objectives"/>
      <w:bookmarkEnd w:id="4"/>
      <w:r>
        <w:t>4. Project Aims and Objectives</w:t>
      </w:r>
    </w:p>
    <w:p w14:paraId="2869C0E2" w14:textId="77777777" w:rsidR="003967A8" w:rsidRPr="0040269B" w:rsidRDefault="00B86E88">
      <w:pPr>
        <w:pStyle w:val="FirstParagraph"/>
        <w:rPr>
          <w:sz w:val="22"/>
          <w:szCs w:val="22"/>
        </w:rPr>
      </w:pPr>
      <w:r w:rsidRPr="0040269B">
        <w:rPr>
          <w:sz w:val="22"/>
          <w:szCs w:val="22"/>
        </w:rPr>
        <w:t>The objectives of the commission are to:</w:t>
      </w:r>
    </w:p>
    <w:p w14:paraId="2869C0E3" w14:textId="77777777" w:rsidR="003967A8" w:rsidRPr="0040269B" w:rsidRDefault="00B86E88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40269B">
        <w:rPr>
          <w:sz w:val="22"/>
          <w:szCs w:val="22"/>
        </w:rPr>
        <w:t>Articulate a strong, consistent, and credible narrative integrating faith, heritage significance, community benefit, environmental responsibility, and future vision</w:t>
      </w:r>
    </w:p>
    <w:p w14:paraId="2869C0E4" w14:textId="77777777" w:rsidR="003967A8" w:rsidRPr="0040269B" w:rsidRDefault="00B86E88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40269B">
        <w:rPr>
          <w:sz w:val="22"/>
          <w:szCs w:val="22"/>
        </w:rPr>
        <w:t>Deliver a structured communications programme aligned to the planning process from pre-application through to determination</w:t>
      </w:r>
    </w:p>
    <w:p w14:paraId="2869C0E5" w14:textId="77777777" w:rsidR="003967A8" w:rsidRPr="0040269B" w:rsidRDefault="00B86E88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40269B">
        <w:rPr>
          <w:sz w:val="22"/>
          <w:szCs w:val="22"/>
        </w:rPr>
        <w:t>Demonstrate clear public benefit and responsiveness to consultation feedback</w:t>
      </w:r>
    </w:p>
    <w:p w14:paraId="2869C0E6" w14:textId="77777777" w:rsidR="003967A8" w:rsidRPr="0040269B" w:rsidRDefault="00B86E88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40269B">
        <w:rPr>
          <w:sz w:val="22"/>
          <w:szCs w:val="22"/>
        </w:rPr>
        <w:t>Build political and community support while addressing concerns and perceived disbenefits</w:t>
      </w:r>
    </w:p>
    <w:p w14:paraId="2869C0E7" w14:textId="77777777" w:rsidR="003967A8" w:rsidRPr="0040269B" w:rsidRDefault="00B86E88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40269B">
        <w:rPr>
          <w:sz w:val="22"/>
          <w:szCs w:val="22"/>
        </w:rPr>
        <w:t>Generate balanced, accurate, and appropriate media coverage</w:t>
      </w:r>
    </w:p>
    <w:p w14:paraId="2869C0E8" w14:textId="77777777" w:rsidR="003967A8" w:rsidRPr="0040269B" w:rsidRDefault="00B86E88">
      <w:pPr>
        <w:pStyle w:val="Compact"/>
        <w:numPr>
          <w:ilvl w:val="0"/>
          <w:numId w:val="4"/>
        </w:numPr>
        <w:rPr>
          <w:sz w:val="22"/>
          <w:szCs w:val="22"/>
        </w:rPr>
      </w:pPr>
      <w:r w:rsidRPr="0040269B">
        <w:rPr>
          <w:sz w:val="22"/>
          <w:szCs w:val="22"/>
        </w:rPr>
        <w:t>Provide professional communications support at key milestones and during periods of heightened scrutiny</w:t>
      </w:r>
    </w:p>
    <w:p w14:paraId="2869C0EA" w14:textId="77777777" w:rsidR="003967A8" w:rsidRDefault="00B86E88">
      <w:pPr>
        <w:pStyle w:val="Heading2"/>
      </w:pPr>
      <w:bookmarkStart w:id="6" w:name="scope-of-services"/>
      <w:bookmarkEnd w:id="5"/>
      <w:r>
        <w:lastRenderedPageBreak/>
        <w:t>5. Scope of Services</w:t>
      </w:r>
    </w:p>
    <w:p w14:paraId="2869C0EB" w14:textId="03B62F13" w:rsidR="003967A8" w:rsidRPr="0040269B" w:rsidRDefault="00B86E88">
      <w:pPr>
        <w:pStyle w:val="FirstParagraph"/>
        <w:rPr>
          <w:sz w:val="22"/>
          <w:szCs w:val="22"/>
        </w:rPr>
      </w:pPr>
      <w:r w:rsidRPr="0040269B">
        <w:rPr>
          <w:sz w:val="22"/>
          <w:szCs w:val="22"/>
        </w:rPr>
        <w:t xml:space="preserve">The appointed consultant will be expected to deliver an integrated programme of strategic communications, stakeholder engagement, public consultation, media relations, and digital communications. The scope below reflects both the </w:t>
      </w:r>
      <w:r w:rsidR="002314D5">
        <w:rPr>
          <w:sz w:val="22"/>
          <w:szCs w:val="22"/>
        </w:rPr>
        <w:t>LDF</w:t>
      </w:r>
      <w:r w:rsidR="00872191">
        <w:rPr>
          <w:sz w:val="22"/>
          <w:szCs w:val="22"/>
        </w:rPr>
        <w:t xml:space="preserve"> and </w:t>
      </w:r>
      <w:r w:rsidR="00B854BE">
        <w:rPr>
          <w:sz w:val="22"/>
          <w:szCs w:val="22"/>
        </w:rPr>
        <w:t>Project Board</w:t>
      </w:r>
      <w:r w:rsidRPr="0040269B">
        <w:rPr>
          <w:sz w:val="22"/>
          <w:szCs w:val="22"/>
        </w:rPr>
        <w:t>’s requirements and established best practice for planning-related communications.</w:t>
      </w:r>
    </w:p>
    <w:p w14:paraId="2869C0EC" w14:textId="77777777" w:rsidR="003967A8" w:rsidRDefault="00B86E88">
      <w:pPr>
        <w:pStyle w:val="Heading3"/>
      </w:pPr>
      <w:bookmarkStart w:id="7" w:name="strategy-and-message-development"/>
      <w:r>
        <w:t>5.1 Strategy and Message Development</w:t>
      </w:r>
    </w:p>
    <w:p w14:paraId="2869C0ED" w14:textId="1446234B" w:rsidR="003967A8" w:rsidRPr="0040269B" w:rsidRDefault="00B86E88">
      <w:pPr>
        <w:pStyle w:val="Compact"/>
        <w:numPr>
          <w:ilvl w:val="0"/>
          <w:numId w:val="5"/>
        </w:numPr>
        <w:rPr>
          <w:sz w:val="22"/>
          <w:szCs w:val="22"/>
        </w:rPr>
      </w:pPr>
      <w:r w:rsidRPr="0040269B">
        <w:rPr>
          <w:sz w:val="22"/>
          <w:szCs w:val="22"/>
        </w:rPr>
        <w:t xml:space="preserve">Review all engagement </w:t>
      </w:r>
      <w:proofErr w:type="gramStart"/>
      <w:r w:rsidRPr="0040269B">
        <w:rPr>
          <w:sz w:val="22"/>
          <w:szCs w:val="22"/>
        </w:rPr>
        <w:t>activity</w:t>
      </w:r>
      <w:proofErr w:type="gramEnd"/>
      <w:r w:rsidRPr="0040269B">
        <w:rPr>
          <w:sz w:val="22"/>
          <w:szCs w:val="22"/>
        </w:rPr>
        <w:t xml:space="preserve"> to date, including consultation feedback, stakeholder concerns, </w:t>
      </w:r>
    </w:p>
    <w:p w14:paraId="2869C0EE" w14:textId="77777777" w:rsidR="003967A8" w:rsidRPr="0040269B" w:rsidRDefault="00B86E88">
      <w:pPr>
        <w:pStyle w:val="Compact"/>
        <w:numPr>
          <w:ilvl w:val="0"/>
          <w:numId w:val="5"/>
        </w:numPr>
        <w:rPr>
          <w:sz w:val="22"/>
          <w:szCs w:val="22"/>
        </w:rPr>
      </w:pPr>
      <w:r w:rsidRPr="0040269B">
        <w:rPr>
          <w:sz w:val="22"/>
          <w:szCs w:val="22"/>
        </w:rPr>
        <w:t xml:space="preserve">Develop and write a comprehensive communications and public relations strategy, incorporating </w:t>
      </w:r>
      <w:proofErr w:type="gramStart"/>
      <w:r w:rsidRPr="0040269B">
        <w:rPr>
          <w:sz w:val="22"/>
          <w:szCs w:val="22"/>
        </w:rPr>
        <w:t>inputs</w:t>
      </w:r>
      <w:proofErr w:type="gramEnd"/>
      <w:r w:rsidRPr="0040269B">
        <w:rPr>
          <w:sz w:val="22"/>
          <w:szCs w:val="22"/>
        </w:rPr>
        <w:t xml:space="preserve"> from the wider project team</w:t>
      </w:r>
    </w:p>
    <w:p w14:paraId="2869C0EF" w14:textId="77777777" w:rsidR="003967A8" w:rsidRPr="0040269B" w:rsidRDefault="00B86E88">
      <w:pPr>
        <w:pStyle w:val="Compact"/>
        <w:numPr>
          <w:ilvl w:val="0"/>
          <w:numId w:val="5"/>
        </w:numPr>
        <w:rPr>
          <w:sz w:val="22"/>
          <w:szCs w:val="22"/>
        </w:rPr>
      </w:pPr>
      <w:r w:rsidRPr="0040269B">
        <w:rPr>
          <w:sz w:val="22"/>
          <w:szCs w:val="22"/>
        </w:rPr>
        <w:t>Present the strategy to the PCC, Diocese, and other stakeholders and secure formal approval</w:t>
      </w:r>
    </w:p>
    <w:p w14:paraId="2869C0F0" w14:textId="77777777" w:rsidR="003967A8" w:rsidRPr="0040269B" w:rsidRDefault="00B86E88">
      <w:pPr>
        <w:pStyle w:val="Compact"/>
        <w:numPr>
          <w:ilvl w:val="0"/>
          <w:numId w:val="5"/>
        </w:numPr>
        <w:rPr>
          <w:sz w:val="22"/>
          <w:szCs w:val="22"/>
        </w:rPr>
      </w:pPr>
      <w:r w:rsidRPr="0040269B">
        <w:rPr>
          <w:sz w:val="22"/>
          <w:szCs w:val="22"/>
        </w:rPr>
        <w:t>Develop key messaging explaining the need for the project, heritage impact, public benefits, and alignment with planning policy</w:t>
      </w:r>
    </w:p>
    <w:p w14:paraId="2869C0F1" w14:textId="77777777" w:rsidR="003967A8" w:rsidRPr="0040269B" w:rsidRDefault="00B86E88">
      <w:pPr>
        <w:pStyle w:val="Compact"/>
        <w:numPr>
          <w:ilvl w:val="0"/>
          <w:numId w:val="5"/>
        </w:numPr>
        <w:rPr>
          <w:sz w:val="22"/>
          <w:szCs w:val="22"/>
        </w:rPr>
      </w:pPr>
      <w:r w:rsidRPr="0040269B">
        <w:rPr>
          <w:sz w:val="22"/>
          <w:szCs w:val="22"/>
        </w:rPr>
        <w:t>Prepare and maintain core communications tools, including FAQs and briefing documents</w:t>
      </w:r>
    </w:p>
    <w:p w14:paraId="2869C0F2" w14:textId="77777777" w:rsidR="003967A8" w:rsidRPr="0040269B" w:rsidRDefault="00B86E88">
      <w:pPr>
        <w:pStyle w:val="Compact"/>
        <w:numPr>
          <w:ilvl w:val="0"/>
          <w:numId w:val="5"/>
        </w:numPr>
        <w:rPr>
          <w:sz w:val="22"/>
          <w:szCs w:val="22"/>
        </w:rPr>
      </w:pPr>
      <w:r w:rsidRPr="0040269B">
        <w:rPr>
          <w:sz w:val="22"/>
          <w:szCs w:val="22"/>
        </w:rPr>
        <w:t>Capture and, where appropriate, integrate social value and ESG principles within the communications strategy</w:t>
      </w:r>
    </w:p>
    <w:p w14:paraId="2869C0F3" w14:textId="77777777" w:rsidR="003967A8" w:rsidRPr="0040269B" w:rsidRDefault="00B86E88">
      <w:pPr>
        <w:pStyle w:val="FirstParagraph"/>
        <w:rPr>
          <w:sz w:val="22"/>
          <w:szCs w:val="22"/>
        </w:rPr>
      </w:pPr>
      <w:r w:rsidRPr="0040269B">
        <w:rPr>
          <w:b/>
          <w:bCs/>
          <w:sz w:val="22"/>
          <w:szCs w:val="22"/>
        </w:rPr>
        <w:t>Outputs may include:</w:t>
      </w:r>
      <w:r w:rsidRPr="0040269B">
        <w:rPr>
          <w:sz w:val="22"/>
          <w:szCs w:val="22"/>
        </w:rPr>
        <w:t xml:space="preserve"> - Approved communications strategy - Key messages framework - Updated FAQs and briefing materials - Stakeholder mapping and engagement recommendations</w:t>
      </w:r>
    </w:p>
    <w:p w14:paraId="2869C0F5" w14:textId="77777777" w:rsidR="003967A8" w:rsidRDefault="00B86E88">
      <w:pPr>
        <w:pStyle w:val="Heading3"/>
      </w:pPr>
      <w:bookmarkStart w:id="8" w:name="digital-communications-and-website"/>
      <w:bookmarkEnd w:id="7"/>
      <w:r>
        <w:t>5.2 Digital Communications and Website</w:t>
      </w:r>
    </w:p>
    <w:p w14:paraId="2869C0F7" w14:textId="7A5069DC" w:rsidR="003967A8" w:rsidRPr="0040269B" w:rsidRDefault="009D3B21">
      <w:pPr>
        <w:pStyle w:val="Compact"/>
        <w:numPr>
          <w:ilvl w:val="0"/>
          <w:numId w:val="6"/>
        </w:numPr>
        <w:rPr>
          <w:sz w:val="22"/>
          <w:szCs w:val="22"/>
        </w:rPr>
      </w:pPr>
      <w:r w:rsidRPr="009D3B21">
        <w:rPr>
          <w:sz w:val="22"/>
          <w:szCs w:val="22"/>
        </w:rPr>
        <w:t>Manage and update the St Mark’s Hami</w:t>
      </w:r>
      <w:r w:rsidR="00E64618">
        <w:rPr>
          <w:sz w:val="22"/>
          <w:szCs w:val="22"/>
        </w:rPr>
        <w:t>l</w:t>
      </w:r>
      <w:r w:rsidRPr="009D3B21">
        <w:rPr>
          <w:sz w:val="22"/>
          <w:szCs w:val="22"/>
        </w:rPr>
        <w:t>ton Terrace website to include a central hub for information, consultation materials, and engagement.</w:t>
      </w:r>
      <w:r>
        <w:rPr>
          <w:sz w:val="22"/>
          <w:szCs w:val="22"/>
        </w:rPr>
        <w:t xml:space="preserve"> </w:t>
      </w:r>
      <w:r w:rsidR="00B86E88" w:rsidRPr="0040269B">
        <w:rPr>
          <w:sz w:val="22"/>
          <w:szCs w:val="22"/>
        </w:rPr>
        <w:t xml:space="preserve">Ensure the website explains proposals clearly and accessibly while encouraging supporters to register, engage, and </w:t>
      </w:r>
      <w:proofErr w:type="gramStart"/>
      <w:r w:rsidR="00B86E88" w:rsidRPr="0040269B">
        <w:rPr>
          <w:sz w:val="22"/>
          <w:szCs w:val="22"/>
        </w:rPr>
        <w:t>take action</w:t>
      </w:r>
      <w:proofErr w:type="gramEnd"/>
    </w:p>
    <w:p w14:paraId="2869C0F8" w14:textId="77777777" w:rsidR="003967A8" w:rsidRPr="0040269B" w:rsidRDefault="00B86E88">
      <w:pPr>
        <w:pStyle w:val="Compact"/>
        <w:numPr>
          <w:ilvl w:val="0"/>
          <w:numId w:val="6"/>
        </w:numPr>
        <w:rPr>
          <w:sz w:val="22"/>
          <w:szCs w:val="22"/>
        </w:rPr>
      </w:pPr>
      <w:r w:rsidRPr="0040269B">
        <w:rPr>
          <w:sz w:val="22"/>
          <w:szCs w:val="22"/>
        </w:rPr>
        <w:t>Maintain and update website content throughout the project lifecycle, including consultation feedback and planning milestones</w:t>
      </w:r>
    </w:p>
    <w:p w14:paraId="2869C0FA" w14:textId="77777777" w:rsidR="003967A8" w:rsidRDefault="00B86E88">
      <w:pPr>
        <w:pStyle w:val="Heading3"/>
      </w:pPr>
      <w:bookmarkStart w:id="9" w:name="stakeholder-and-political-engagement"/>
      <w:bookmarkEnd w:id="8"/>
      <w:r>
        <w:t>5.3 Stakeholder and Political Engagement</w:t>
      </w:r>
    </w:p>
    <w:p w14:paraId="2869C0FB" w14:textId="77777777" w:rsidR="003967A8" w:rsidRPr="0040269B" w:rsidRDefault="00B86E88">
      <w:pPr>
        <w:pStyle w:val="Compact"/>
        <w:numPr>
          <w:ilvl w:val="0"/>
          <w:numId w:val="7"/>
        </w:numPr>
        <w:rPr>
          <w:sz w:val="22"/>
          <w:szCs w:val="22"/>
        </w:rPr>
      </w:pPr>
      <w:r w:rsidRPr="0040269B">
        <w:rPr>
          <w:sz w:val="22"/>
          <w:szCs w:val="22"/>
        </w:rPr>
        <w:t xml:space="preserve">Develop and manage a structured programme of engagement with residents, community groups, amenity societies, </w:t>
      </w:r>
      <w:proofErr w:type="spellStart"/>
      <w:r w:rsidRPr="0040269B">
        <w:rPr>
          <w:sz w:val="22"/>
          <w:szCs w:val="22"/>
        </w:rPr>
        <w:t>councillors</w:t>
      </w:r>
      <w:proofErr w:type="spellEnd"/>
      <w:r w:rsidRPr="0040269B">
        <w:rPr>
          <w:sz w:val="22"/>
          <w:szCs w:val="22"/>
        </w:rPr>
        <w:t>, MPs, and key opinion formers</w:t>
      </w:r>
    </w:p>
    <w:p w14:paraId="2869C0FC" w14:textId="77777777" w:rsidR="003967A8" w:rsidRPr="0040269B" w:rsidRDefault="00B86E88">
      <w:pPr>
        <w:pStyle w:val="Compact"/>
        <w:numPr>
          <w:ilvl w:val="0"/>
          <w:numId w:val="7"/>
        </w:numPr>
        <w:rPr>
          <w:sz w:val="22"/>
          <w:szCs w:val="22"/>
        </w:rPr>
      </w:pPr>
      <w:r w:rsidRPr="0040269B">
        <w:rPr>
          <w:sz w:val="22"/>
          <w:szCs w:val="22"/>
        </w:rPr>
        <w:t>Arrange and attend meetings (online and in-person)</w:t>
      </w:r>
    </w:p>
    <w:p w14:paraId="2869C0FD" w14:textId="77777777" w:rsidR="003967A8" w:rsidRPr="0040269B" w:rsidRDefault="00B86E88">
      <w:pPr>
        <w:pStyle w:val="Compact"/>
        <w:numPr>
          <w:ilvl w:val="0"/>
          <w:numId w:val="7"/>
        </w:numPr>
        <w:rPr>
          <w:sz w:val="22"/>
          <w:szCs w:val="22"/>
        </w:rPr>
      </w:pPr>
      <w:r w:rsidRPr="0040269B">
        <w:rPr>
          <w:sz w:val="22"/>
          <w:szCs w:val="22"/>
        </w:rPr>
        <w:t xml:space="preserve">Provide regular engagement reports </w:t>
      </w:r>
      <w:proofErr w:type="spellStart"/>
      <w:r w:rsidRPr="0040269B">
        <w:rPr>
          <w:sz w:val="22"/>
          <w:szCs w:val="22"/>
        </w:rPr>
        <w:t>summarising</w:t>
      </w:r>
      <w:proofErr w:type="spellEnd"/>
      <w:r w:rsidRPr="0040269B">
        <w:rPr>
          <w:sz w:val="22"/>
          <w:szCs w:val="22"/>
        </w:rPr>
        <w:t xml:space="preserve"> intelligence, risks, feedback, and recommended actions</w:t>
      </w:r>
    </w:p>
    <w:p w14:paraId="2869C0FE" w14:textId="77777777" w:rsidR="003967A8" w:rsidRPr="0040269B" w:rsidRDefault="00B86E88">
      <w:pPr>
        <w:pStyle w:val="Compact"/>
        <w:numPr>
          <w:ilvl w:val="0"/>
          <w:numId w:val="7"/>
        </w:numPr>
        <w:rPr>
          <w:sz w:val="22"/>
          <w:szCs w:val="22"/>
        </w:rPr>
      </w:pPr>
      <w:r w:rsidRPr="0040269B">
        <w:rPr>
          <w:sz w:val="22"/>
          <w:szCs w:val="22"/>
        </w:rPr>
        <w:t>Manage ongoing relationships between formal consultation stages</w:t>
      </w:r>
    </w:p>
    <w:p w14:paraId="2869C0FF" w14:textId="77777777" w:rsidR="003967A8" w:rsidRPr="0040269B" w:rsidRDefault="00B86E88">
      <w:pPr>
        <w:pStyle w:val="Compact"/>
        <w:numPr>
          <w:ilvl w:val="0"/>
          <w:numId w:val="7"/>
        </w:numPr>
        <w:rPr>
          <w:sz w:val="22"/>
          <w:szCs w:val="22"/>
        </w:rPr>
      </w:pPr>
      <w:r w:rsidRPr="0040269B">
        <w:rPr>
          <w:sz w:val="22"/>
          <w:szCs w:val="22"/>
        </w:rPr>
        <w:t>Provide advice and support relating to political lobbying, where appropriate and compliant with charitable governance</w:t>
      </w:r>
    </w:p>
    <w:p w14:paraId="2869C101" w14:textId="4650FE8E" w:rsidR="003967A8" w:rsidRDefault="00B86E88">
      <w:pPr>
        <w:pStyle w:val="Heading3"/>
      </w:pPr>
      <w:bookmarkStart w:id="10" w:name="project-re-launch-and-profile-raising"/>
      <w:bookmarkEnd w:id="9"/>
      <w:r>
        <w:t>5.4 Project Launch and Profile Raising</w:t>
      </w:r>
    </w:p>
    <w:p w14:paraId="7017D85A" w14:textId="2C42767D" w:rsidR="004E0F18" w:rsidRPr="00345DE4" w:rsidRDefault="00B86E88">
      <w:pPr>
        <w:pStyle w:val="Compact"/>
        <w:numPr>
          <w:ilvl w:val="0"/>
          <w:numId w:val="8"/>
        </w:numPr>
        <w:rPr>
          <w:sz w:val="22"/>
          <w:szCs w:val="22"/>
        </w:rPr>
      </w:pPr>
      <w:r w:rsidRPr="0040269B">
        <w:rPr>
          <w:sz w:val="22"/>
          <w:szCs w:val="22"/>
        </w:rPr>
        <w:t xml:space="preserve">Plan and deliver a coordinated project launch to re-engage the community and wider </w:t>
      </w:r>
      <w:r w:rsidRPr="00345DE4">
        <w:rPr>
          <w:sz w:val="22"/>
          <w:szCs w:val="22"/>
        </w:rPr>
        <w:t>stakeholders</w:t>
      </w:r>
    </w:p>
    <w:p w14:paraId="2869C102" w14:textId="5DB7D29E" w:rsidR="003967A8" w:rsidRPr="00345DE4" w:rsidRDefault="004E0F18">
      <w:pPr>
        <w:pStyle w:val="Compact"/>
        <w:numPr>
          <w:ilvl w:val="0"/>
          <w:numId w:val="8"/>
        </w:numPr>
        <w:rPr>
          <w:sz w:val="22"/>
          <w:szCs w:val="22"/>
        </w:rPr>
      </w:pPr>
      <w:r w:rsidRPr="00345DE4">
        <w:rPr>
          <w:rStyle w:val="cf01"/>
          <w:rFonts w:asciiTheme="minorHAnsi" w:hAnsiTheme="minorHAnsi"/>
          <w:sz w:val="22"/>
          <w:szCs w:val="22"/>
        </w:rPr>
        <w:t>Commission and oversee hoarding artwork, as a possible stakeholder engagement project</w:t>
      </w:r>
    </w:p>
    <w:p w14:paraId="2869C104" w14:textId="77777777" w:rsidR="003967A8" w:rsidRPr="0040269B" w:rsidRDefault="00B86E88">
      <w:pPr>
        <w:pStyle w:val="Compact"/>
        <w:numPr>
          <w:ilvl w:val="0"/>
          <w:numId w:val="8"/>
        </w:numPr>
        <w:rPr>
          <w:sz w:val="22"/>
          <w:szCs w:val="22"/>
        </w:rPr>
      </w:pPr>
      <w:r w:rsidRPr="0040269B">
        <w:rPr>
          <w:sz w:val="22"/>
          <w:szCs w:val="22"/>
        </w:rPr>
        <w:lastRenderedPageBreak/>
        <w:t>Undertake door-to-door engagement in the local area</w:t>
      </w:r>
    </w:p>
    <w:p w14:paraId="2869C105" w14:textId="77777777" w:rsidR="003967A8" w:rsidRPr="0040269B" w:rsidRDefault="00B86E88">
      <w:pPr>
        <w:pStyle w:val="Compact"/>
        <w:numPr>
          <w:ilvl w:val="0"/>
          <w:numId w:val="8"/>
        </w:numPr>
        <w:rPr>
          <w:sz w:val="22"/>
          <w:szCs w:val="22"/>
        </w:rPr>
      </w:pPr>
      <w:r w:rsidRPr="0040269B">
        <w:rPr>
          <w:sz w:val="22"/>
          <w:szCs w:val="22"/>
        </w:rPr>
        <w:t>Deliver a targeted digital and social media campaign, using clear, visual messaging to drive engagement</w:t>
      </w:r>
    </w:p>
    <w:p w14:paraId="2869C106" w14:textId="77777777" w:rsidR="003967A8" w:rsidRPr="0040269B" w:rsidRDefault="00B86E88">
      <w:pPr>
        <w:pStyle w:val="Compact"/>
        <w:numPr>
          <w:ilvl w:val="0"/>
          <w:numId w:val="8"/>
        </w:numPr>
        <w:rPr>
          <w:sz w:val="22"/>
          <w:szCs w:val="22"/>
        </w:rPr>
      </w:pPr>
      <w:r w:rsidRPr="0040269B">
        <w:rPr>
          <w:sz w:val="22"/>
          <w:szCs w:val="22"/>
        </w:rPr>
        <w:t>Act as press office for the project, including proactive and reactive engagement with local and specialist media</w:t>
      </w:r>
    </w:p>
    <w:p w14:paraId="2869C108" w14:textId="77777777" w:rsidR="003967A8" w:rsidRDefault="00B86E88">
      <w:pPr>
        <w:pStyle w:val="Heading3"/>
      </w:pPr>
      <w:bookmarkStart w:id="11" w:name="public-consultation-and-engagement"/>
      <w:bookmarkEnd w:id="10"/>
      <w:r>
        <w:t>5.5 Public Consultation and Engagement</w:t>
      </w:r>
    </w:p>
    <w:p w14:paraId="2869C109" w14:textId="77777777" w:rsidR="003967A8" w:rsidRPr="0040269B" w:rsidRDefault="00B86E88">
      <w:pPr>
        <w:pStyle w:val="Compact"/>
        <w:numPr>
          <w:ilvl w:val="0"/>
          <w:numId w:val="9"/>
        </w:numPr>
        <w:rPr>
          <w:sz w:val="22"/>
          <w:szCs w:val="22"/>
        </w:rPr>
      </w:pPr>
      <w:r w:rsidRPr="0040269B">
        <w:rPr>
          <w:sz w:val="22"/>
          <w:szCs w:val="22"/>
        </w:rPr>
        <w:t>Design and manage statutory and non-statutory public consultation activity</w:t>
      </w:r>
    </w:p>
    <w:p w14:paraId="2869C10A" w14:textId="77777777" w:rsidR="003967A8" w:rsidRPr="0040269B" w:rsidRDefault="00B86E88">
      <w:pPr>
        <w:pStyle w:val="Compact"/>
        <w:numPr>
          <w:ilvl w:val="0"/>
          <w:numId w:val="9"/>
        </w:numPr>
        <w:rPr>
          <w:sz w:val="22"/>
          <w:szCs w:val="22"/>
        </w:rPr>
      </w:pPr>
      <w:r w:rsidRPr="0040269B">
        <w:rPr>
          <w:sz w:val="22"/>
          <w:szCs w:val="22"/>
        </w:rPr>
        <w:t>Arrange and host in-person exhibitions and online webinars</w:t>
      </w:r>
    </w:p>
    <w:p w14:paraId="2869C10C" w14:textId="77777777" w:rsidR="003967A8" w:rsidRPr="0040269B" w:rsidRDefault="00B86E88">
      <w:pPr>
        <w:pStyle w:val="Compact"/>
        <w:numPr>
          <w:ilvl w:val="0"/>
          <w:numId w:val="9"/>
        </w:numPr>
        <w:rPr>
          <w:sz w:val="22"/>
          <w:szCs w:val="22"/>
        </w:rPr>
      </w:pPr>
      <w:r w:rsidRPr="0040269B">
        <w:rPr>
          <w:sz w:val="22"/>
          <w:szCs w:val="22"/>
        </w:rPr>
        <w:t>Draft, design, and manage consultation materials and displays</w:t>
      </w:r>
    </w:p>
    <w:p w14:paraId="2869C10D" w14:textId="77777777" w:rsidR="003967A8" w:rsidRDefault="00B86E88">
      <w:pPr>
        <w:pStyle w:val="Compact"/>
        <w:numPr>
          <w:ilvl w:val="0"/>
          <w:numId w:val="9"/>
        </w:numPr>
      </w:pPr>
      <w:r w:rsidRPr="0040269B">
        <w:rPr>
          <w:sz w:val="22"/>
          <w:szCs w:val="22"/>
        </w:rPr>
        <w:t xml:space="preserve">Track, </w:t>
      </w:r>
      <w:proofErr w:type="spellStart"/>
      <w:proofErr w:type="gramStart"/>
      <w:r w:rsidRPr="0040269B">
        <w:rPr>
          <w:sz w:val="22"/>
          <w:szCs w:val="22"/>
        </w:rPr>
        <w:t>analyse</w:t>
      </w:r>
      <w:proofErr w:type="spellEnd"/>
      <w:proofErr w:type="gramEnd"/>
      <w:r w:rsidRPr="0040269B">
        <w:rPr>
          <w:sz w:val="22"/>
          <w:szCs w:val="22"/>
        </w:rPr>
        <w:t>, and report on consultation responses</w:t>
      </w:r>
    </w:p>
    <w:p w14:paraId="2869C10F" w14:textId="5D34392A" w:rsidR="003967A8" w:rsidRDefault="00B86E88">
      <w:pPr>
        <w:pStyle w:val="Heading3"/>
      </w:pPr>
      <w:bookmarkStart w:id="12" w:name="Xe69455830ba953a3bb2f5240b47aa75fcfdbeb6"/>
      <w:bookmarkEnd w:id="11"/>
      <w:r>
        <w:t>5.6 Final Review, Submission, and Determination</w:t>
      </w:r>
    </w:p>
    <w:p w14:paraId="2869C110" w14:textId="77777777" w:rsidR="003967A8" w:rsidRPr="00C00427" w:rsidRDefault="00B86E88">
      <w:pPr>
        <w:pStyle w:val="Compact"/>
        <w:numPr>
          <w:ilvl w:val="0"/>
          <w:numId w:val="10"/>
        </w:numPr>
        <w:rPr>
          <w:sz w:val="22"/>
          <w:szCs w:val="22"/>
        </w:rPr>
      </w:pPr>
      <w:r w:rsidRPr="00C00427">
        <w:rPr>
          <w:sz w:val="22"/>
          <w:szCs w:val="22"/>
        </w:rPr>
        <w:t>Draft the Statement of Community Involvement</w:t>
      </w:r>
    </w:p>
    <w:p w14:paraId="2869C111" w14:textId="77777777" w:rsidR="003967A8" w:rsidRPr="00C00427" w:rsidRDefault="00B86E88">
      <w:pPr>
        <w:pStyle w:val="Compact"/>
        <w:numPr>
          <w:ilvl w:val="0"/>
          <w:numId w:val="10"/>
        </w:numPr>
        <w:rPr>
          <w:sz w:val="22"/>
          <w:szCs w:val="22"/>
        </w:rPr>
      </w:pPr>
      <w:r w:rsidRPr="00C00427">
        <w:rPr>
          <w:sz w:val="22"/>
          <w:szCs w:val="22"/>
        </w:rPr>
        <w:t>Update communications materials ahead of submission</w:t>
      </w:r>
    </w:p>
    <w:p w14:paraId="2869C112" w14:textId="77777777" w:rsidR="003967A8" w:rsidRPr="00C00427" w:rsidRDefault="00B86E88">
      <w:pPr>
        <w:pStyle w:val="Compact"/>
        <w:numPr>
          <w:ilvl w:val="0"/>
          <w:numId w:val="10"/>
        </w:numPr>
        <w:rPr>
          <w:sz w:val="22"/>
          <w:szCs w:val="22"/>
        </w:rPr>
      </w:pPr>
      <w:r w:rsidRPr="00C00427">
        <w:rPr>
          <w:sz w:val="22"/>
          <w:szCs w:val="22"/>
        </w:rPr>
        <w:t>Support engagement with Westminster City Council, including Development Control Forum briefings</w:t>
      </w:r>
    </w:p>
    <w:p w14:paraId="2869C114" w14:textId="77777777" w:rsidR="003967A8" w:rsidRPr="00C00427" w:rsidRDefault="00B86E88">
      <w:pPr>
        <w:pStyle w:val="Compact"/>
        <w:numPr>
          <w:ilvl w:val="0"/>
          <w:numId w:val="10"/>
        </w:numPr>
        <w:rPr>
          <w:sz w:val="22"/>
          <w:szCs w:val="22"/>
        </w:rPr>
      </w:pPr>
      <w:proofErr w:type="spellStart"/>
      <w:r w:rsidRPr="00C00427">
        <w:rPr>
          <w:sz w:val="22"/>
          <w:szCs w:val="22"/>
        </w:rPr>
        <w:t>Mobilise</w:t>
      </w:r>
      <w:proofErr w:type="spellEnd"/>
      <w:r w:rsidRPr="00C00427">
        <w:rPr>
          <w:sz w:val="22"/>
          <w:szCs w:val="22"/>
        </w:rPr>
        <w:t xml:space="preserve"> supporters to register support during the determination period</w:t>
      </w:r>
    </w:p>
    <w:p w14:paraId="2869C115" w14:textId="77777777" w:rsidR="003967A8" w:rsidRPr="00C00427" w:rsidRDefault="00B86E88">
      <w:pPr>
        <w:pStyle w:val="Compact"/>
        <w:numPr>
          <w:ilvl w:val="0"/>
          <w:numId w:val="10"/>
        </w:numPr>
        <w:rPr>
          <w:sz w:val="22"/>
          <w:szCs w:val="22"/>
        </w:rPr>
      </w:pPr>
      <w:r w:rsidRPr="00C00427">
        <w:rPr>
          <w:sz w:val="22"/>
          <w:szCs w:val="22"/>
        </w:rPr>
        <w:t xml:space="preserve">Monitor media, </w:t>
      </w:r>
      <w:proofErr w:type="gramStart"/>
      <w:r w:rsidRPr="00C00427">
        <w:rPr>
          <w:sz w:val="22"/>
          <w:szCs w:val="22"/>
        </w:rPr>
        <w:t>stakeholder</w:t>
      </w:r>
      <w:proofErr w:type="gramEnd"/>
      <w:r w:rsidRPr="00C00427">
        <w:rPr>
          <w:sz w:val="22"/>
          <w:szCs w:val="22"/>
        </w:rPr>
        <w:t>, and political activity through to committee decision</w:t>
      </w:r>
    </w:p>
    <w:p w14:paraId="2869C117" w14:textId="77777777" w:rsidR="003967A8" w:rsidRDefault="00B86E88">
      <w:pPr>
        <w:pStyle w:val="Heading2"/>
      </w:pPr>
      <w:bookmarkStart w:id="13" w:name="key-milestones"/>
      <w:bookmarkEnd w:id="6"/>
      <w:bookmarkEnd w:id="12"/>
      <w:r>
        <w:t>6. Key Milestones</w:t>
      </w:r>
    </w:p>
    <w:p w14:paraId="2869C118" w14:textId="77777777" w:rsidR="003967A8" w:rsidRPr="0040269B" w:rsidRDefault="00B86E88">
      <w:pPr>
        <w:pStyle w:val="FirstParagraph"/>
        <w:rPr>
          <w:sz w:val="22"/>
          <w:szCs w:val="22"/>
        </w:rPr>
      </w:pPr>
      <w:r w:rsidRPr="0040269B">
        <w:rPr>
          <w:sz w:val="22"/>
          <w:szCs w:val="22"/>
        </w:rPr>
        <w:t>Communications support is expected across the following milestones:</w:t>
      </w:r>
    </w:p>
    <w:p w14:paraId="2869C119" w14:textId="77777777" w:rsidR="003967A8" w:rsidRPr="0040269B" w:rsidRDefault="00B86E88">
      <w:pPr>
        <w:pStyle w:val="Compact"/>
        <w:numPr>
          <w:ilvl w:val="0"/>
          <w:numId w:val="11"/>
        </w:numPr>
        <w:rPr>
          <w:sz w:val="22"/>
          <w:szCs w:val="22"/>
        </w:rPr>
      </w:pPr>
      <w:r w:rsidRPr="0040269B">
        <w:rPr>
          <w:sz w:val="22"/>
          <w:szCs w:val="22"/>
        </w:rPr>
        <w:t>Strategy development and approval</w:t>
      </w:r>
    </w:p>
    <w:p w14:paraId="2869C11A" w14:textId="0CA043D5" w:rsidR="003967A8" w:rsidRPr="0040269B" w:rsidRDefault="00B86E88">
      <w:pPr>
        <w:pStyle w:val="Compact"/>
        <w:numPr>
          <w:ilvl w:val="0"/>
          <w:numId w:val="11"/>
        </w:numPr>
        <w:rPr>
          <w:sz w:val="22"/>
          <w:szCs w:val="22"/>
        </w:rPr>
      </w:pPr>
      <w:r w:rsidRPr="0040269B">
        <w:rPr>
          <w:sz w:val="22"/>
          <w:szCs w:val="22"/>
        </w:rPr>
        <w:t>Project launch</w:t>
      </w:r>
    </w:p>
    <w:p w14:paraId="2869C11B" w14:textId="77777777" w:rsidR="003967A8" w:rsidRPr="0040269B" w:rsidRDefault="00B86E88">
      <w:pPr>
        <w:pStyle w:val="Compact"/>
        <w:numPr>
          <w:ilvl w:val="0"/>
          <w:numId w:val="11"/>
        </w:numPr>
        <w:rPr>
          <w:sz w:val="22"/>
          <w:szCs w:val="22"/>
        </w:rPr>
      </w:pPr>
      <w:r w:rsidRPr="0040269B">
        <w:rPr>
          <w:sz w:val="22"/>
          <w:szCs w:val="22"/>
        </w:rPr>
        <w:t>Pre-application consultation</w:t>
      </w:r>
    </w:p>
    <w:p w14:paraId="2869C11C" w14:textId="77777777" w:rsidR="003967A8" w:rsidRPr="0040269B" w:rsidRDefault="00B86E88">
      <w:pPr>
        <w:pStyle w:val="Compact"/>
        <w:numPr>
          <w:ilvl w:val="0"/>
          <w:numId w:val="11"/>
        </w:numPr>
        <w:rPr>
          <w:sz w:val="22"/>
          <w:szCs w:val="22"/>
        </w:rPr>
      </w:pPr>
      <w:r w:rsidRPr="0040269B">
        <w:rPr>
          <w:sz w:val="22"/>
          <w:szCs w:val="22"/>
        </w:rPr>
        <w:t>Planning and listed building consent submission</w:t>
      </w:r>
    </w:p>
    <w:p w14:paraId="2869C11D" w14:textId="77777777" w:rsidR="003967A8" w:rsidRPr="0040269B" w:rsidRDefault="00B86E88">
      <w:pPr>
        <w:pStyle w:val="Compact"/>
        <w:numPr>
          <w:ilvl w:val="0"/>
          <w:numId w:val="11"/>
        </w:numPr>
        <w:rPr>
          <w:sz w:val="22"/>
          <w:szCs w:val="22"/>
        </w:rPr>
      </w:pPr>
      <w:r w:rsidRPr="0040269B">
        <w:rPr>
          <w:sz w:val="22"/>
          <w:szCs w:val="22"/>
        </w:rPr>
        <w:t>Determination and committee decision</w:t>
      </w:r>
    </w:p>
    <w:p w14:paraId="2869C11E" w14:textId="77777777" w:rsidR="003967A8" w:rsidRPr="0040269B" w:rsidRDefault="00B86E88">
      <w:pPr>
        <w:pStyle w:val="Compact"/>
        <w:numPr>
          <w:ilvl w:val="0"/>
          <w:numId w:val="11"/>
        </w:numPr>
        <w:rPr>
          <w:sz w:val="22"/>
          <w:szCs w:val="22"/>
        </w:rPr>
      </w:pPr>
      <w:r w:rsidRPr="0040269B">
        <w:rPr>
          <w:sz w:val="22"/>
          <w:szCs w:val="22"/>
        </w:rPr>
        <w:t>Start on site and completion (subject to appointment extension)</w:t>
      </w:r>
    </w:p>
    <w:p w14:paraId="2869C120" w14:textId="77777777" w:rsidR="003967A8" w:rsidRDefault="00B86E88">
      <w:pPr>
        <w:pStyle w:val="Heading2"/>
      </w:pPr>
      <w:bookmarkStart w:id="14" w:name="target-audiences"/>
      <w:bookmarkEnd w:id="13"/>
      <w:r>
        <w:t>7. Target Audiences</w:t>
      </w:r>
    </w:p>
    <w:p w14:paraId="2869C121" w14:textId="77777777" w:rsidR="003967A8" w:rsidRPr="0040269B" w:rsidRDefault="00B86E88">
      <w:pPr>
        <w:pStyle w:val="FirstParagraph"/>
        <w:rPr>
          <w:sz w:val="22"/>
          <w:szCs w:val="22"/>
        </w:rPr>
      </w:pPr>
      <w:r w:rsidRPr="0040269B">
        <w:rPr>
          <w:sz w:val="22"/>
          <w:szCs w:val="22"/>
        </w:rPr>
        <w:t>Key audiences include:</w:t>
      </w:r>
    </w:p>
    <w:p w14:paraId="2869C122" w14:textId="77777777" w:rsidR="003967A8" w:rsidRPr="0040269B" w:rsidRDefault="00B86E88">
      <w:pPr>
        <w:pStyle w:val="Compact"/>
        <w:numPr>
          <w:ilvl w:val="0"/>
          <w:numId w:val="12"/>
        </w:numPr>
        <w:rPr>
          <w:sz w:val="22"/>
          <w:szCs w:val="22"/>
        </w:rPr>
      </w:pPr>
      <w:r w:rsidRPr="0040269B">
        <w:rPr>
          <w:sz w:val="22"/>
          <w:szCs w:val="22"/>
        </w:rPr>
        <w:t>Parishioners and volunteers</w:t>
      </w:r>
    </w:p>
    <w:p w14:paraId="2869C123" w14:textId="77777777" w:rsidR="003967A8" w:rsidRPr="0040269B" w:rsidRDefault="00B86E88">
      <w:pPr>
        <w:pStyle w:val="Compact"/>
        <w:numPr>
          <w:ilvl w:val="0"/>
          <w:numId w:val="12"/>
        </w:numPr>
        <w:rPr>
          <w:sz w:val="22"/>
          <w:szCs w:val="22"/>
        </w:rPr>
      </w:pPr>
      <w:proofErr w:type="gramStart"/>
      <w:r w:rsidRPr="0040269B">
        <w:rPr>
          <w:sz w:val="22"/>
          <w:szCs w:val="22"/>
        </w:rPr>
        <w:t>Local residents</w:t>
      </w:r>
      <w:proofErr w:type="gramEnd"/>
      <w:r w:rsidRPr="0040269B">
        <w:rPr>
          <w:sz w:val="22"/>
          <w:szCs w:val="22"/>
        </w:rPr>
        <w:t xml:space="preserve"> and neighbours</w:t>
      </w:r>
    </w:p>
    <w:p w14:paraId="2869C124" w14:textId="77777777" w:rsidR="003967A8" w:rsidRPr="0040269B" w:rsidRDefault="00B86E88">
      <w:pPr>
        <w:pStyle w:val="Compact"/>
        <w:numPr>
          <w:ilvl w:val="0"/>
          <w:numId w:val="12"/>
        </w:numPr>
        <w:rPr>
          <w:sz w:val="22"/>
          <w:szCs w:val="22"/>
        </w:rPr>
      </w:pPr>
      <w:r w:rsidRPr="0040269B">
        <w:rPr>
          <w:sz w:val="22"/>
          <w:szCs w:val="22"/>
        </w:rPr>
        <w:t>Amenity societies and local interest groups</w:t>
      </w:r>
    </w:p>
    <w:p w14:paraId="2869C125" w14:textId="77777777" w:rsidR="003967A8" w:rsidRPr="0040269B" w:rsidRDefault="00B86E88">
      <w:pPr>
        <w:pStyle w:val="Compact"/>
        <w:numPr>
          <w:ilvl w:val="0"/>
          <w:numId w:val="12"/>
        </w:numPr>
        <w:rPr>
          <w:sz w:val="22"/>
          <w:szCs w:val="22"/>
        </w:rPr>
      </w:pPr>
      <w:r w:rsidRPr="0040269B">
        <w:rPr>
          <w:sz w:val="22"/>
          <w:szCs w:val="22"/>
        </w:rPr>
        <w:t>Heritage stakeholders and statutory consultees</w:t>
      </w:r>
    </w:p>
    <w:p w14:paraId="2869C126" w14:textId="77777777" w:rsidR="003967A8" w:rsidRPr="0040269B" w:rsidRDefault="00B86E88">
      <w:pPr>
        <w:pStyle w:val="Compact"/>
        <w:numPr>
          <w:ilvl w:val="0"/>
          <w:numId w:val="12"/>
        </w:numPr>
        <w:rPr>
          <w:sz w:val="22"/>
          <w:szCs w:val="22"/>
        </w:rPr>
      </w:pPr>
      <w:r w:rsidRPr="0040269B">
        <w:rPr>
          <w:sz w:val="22"/>
          <w:szCs w:val="22"/>
        </w:rPr>
        <w:t>Community partners</w:t>
      </w:r>
    </w:p>
    <w:p w14:paraId="2869C127" w14:textId="77777777" w:rsidR="003967A8" w:rsidRPr="0040269B" w:rsidRDefault="00B86E88">
      <w:pPr>
        <w:pStyle w:val="Compact"/>
        <w:numPr>
          <w:ilvl w:val="0"/>
          <w:numId w:val="12"/>
        </w:numPr>
        <w:rPr>
          <w:sz w:val="22"/>
          <w:szCs w:val="22"/>
        </w:rPr>
      </w:pPr>
      <w:r w:rsidRPr="0040269B">
        <w:rPr>
          <w:sz w:val="22"/>
          <w:szCs w:val="22"/>
        </w:rPr>
        <w:t>Westminster City Council officers and members</w:t>
      </w:r>
    </w:p>
    <w:p w14:paraId="2869C128" w14:textId="77777777" w:rsidR="003967A8" w:rsidRPr="0040269B" w:rsidRDefault="00B86E88">
      <w:pPr>
        <w:pStyle w:val="Compact"/>
        <w:numPr>
          <w:ilvl w:val="0"/>
          <w:numId w:val="12"/>
        </w:numPr>
        <w:rPr>
          <w:sz w:val="22"/>
          <w:szCs w:val="22"/>
        </w:rPr>
      </w:pPr>
      <w:r w:rsidRPr="0040269B">
        <w:rPr>
          <w:sz w:val="22"/>
          <w:szCs w:val="22"/>
        </w:rPr>
        <w:t>Diocese of London and wider Church of England audiences</w:t>
      </w:r>
    </w:p>
    <w:p w14:paraId="2869C129" w14:textId="54C562F9" w:rsidR="003967A8" w:rsidRPr="0040269B" w:rsidRDefault="00B86E88">
      <w:pPr>
        <w:pStyle w:val="Compact"/>
        <w:numPr>
          <w:ilvl w:val="0"/>
          <w:numId w:val="12"/>
        </w:numPr>
        <w:rPr>
          <w:sz w:val="22"/>
          <w:szCs w:val="22"/>
        </w:rPr>
      </w:pPr>
      <w:r w:rsidRPr="0040269B">
        <w:rPr>
          <w:sz w:val="22"/>
          <w:szCs w:val="22"/>
        </w:rPr>
        <w:t xml:space="preserve">Potential donors </w:t>
      </w:r>
    </w:p>
    <w:p w14:paraId="2869C12A" w14:textId="77777777" w:rsidR="003967A8" w:rsidRPr="0040269B" w:rsidRDefault="00B86E88">
      <w:pPr>
        <w:pStyle w:val="Compact"/>
        <w:numPr>
          <w:ilvl w:val="0"/>
          <w:numId w:val="12"/>
        </w:numPr>
        <w:rPr>
          <w:sz w:val="22"/>
          <w:szCs w:val="22"/>
        </w:rPr>
      </w:pPr>
      <w:r w:rsidRPr="0040269B">
        <w:rPr>
          <w:sz w:val="22"/>
          <w:szCs w:val="22"/>
        </w:rPr>
        <w:t>Local, specialist, and faith-based media</w:t>
      </w:r>
    </w:p>
    <w:p w14:paraId="2869C12C" w14:textId="77777777" w:rsidR="003967A8" w:rsidRDefault="00B86E88">
      <w:pPr>
        <w:pStyle w:val="Heading2"/>
      </w:pPr>
      <w:bookmarkStart w:id="15" w:name="programme-and-duration"/>
      <w:bookmarkEnd w:id="14"/>
      <w:r>
        <w:lastRenderedPageBreak/>
        <w:t>8. Programme and Duration</w:t>
      </w:r>
    </w:p>
    <w:p w14:paraId="2869C12D" w14:textId="2931B750" w:rsidR="003967A8" w:rsidRDefault="00B86E88">
      <w:pPr>
        <w:pStyle w:val="FirstParagraph"/>
        <w:rPr>
          <w:sz w:val="22"/>
          <w:szCs w:val="22"/>
        </w:rPr>
      </w:pPr>
      <w:r w:rsidRPr="0040269B">
        <w:rPr>
          <w:sz w:val="22"/>
          <w:szCs w:val="22"/>
        </w:rPr>
        <w:t xml:space="preserve">The anticipated duration of the commission is </w:t>
      </w:r>
      <w:r w:rsidRPr="003A73EE">
        <w:rPr>
          <w:sz w:val="22"/>
          <w:szCs w:val="22"/>
        </w:rPr>
        <w:t xml:space="preserve">approximately </w:t>
      </w:r>
      <w:r w:rsidR="001F7477" w:rsidRPr="00C00427">
        <w:rPr>
          <w:sz w:val="22"/>
          <w:szCs w:val="22"/>
        </w:rPr>
        <w:t>60</w:t>
      </w:r>
      <w:r w:rsidRPr="00C00427">
        <w:rPr>
          <w:sz w:val="22"/>
          <w:szCs w:val="22"/>
        </w:rPr>
        <w:t xml:space="preserve"> months</w:t>
      </w:r>
      <w:r w:rsidRPr="003A73EE">
        <w:rPr>
          <w:sz w:val="22"/>
          <w:szCs w:val="22"/>
        </w:rPr>
        <w:t>,</w:t>
      </w:r>
      <w:r w:rsidRPr="0040269B">
        <w:rPr>
          <w:sz w:val="22"/>
          <w:szCs w:val="22"/>
        </w:rPr>
        <w:t xml:space="preserve"> aligned with the planning programme, with the option to extend subject to PCC approval, funding, and performance.</w:t>
      </w:r>
    </w:p>
    <w:p w14:paraId="1AAC9295" w14:textId="77777777" w:rsidR="00A4780D" w:rsidRDefault="00A4780D" w:rsidP="00A4780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4780D" w14:paraId="75D443AE" w14:textId="77777777" w:rsidTr="00A4780D">
        <w:tc>
          <w:tcPr>
            <w:tcW w:w="3116" w:type="dxa"/>
          </w:tcPr>
          <w:p w14:paraId="31359A9C" w14:textId="29C6429D" w:rsidR="00A4780D" w:rsidRDefault="00A4780D" w:rsidP="00A4780D">
            <w:pPr>
              <w:pStyle w:val="BodyText"/>
            </w:pPr>
            <w:r>
              <w:t>Stage</w:t>
            </w:r>
          </w:p>
        </w:tc>
        <w:tc>
          <w:tcPr>
            <w:tcW w:w="3117" w:type="dxa"/>
          </w:tcPr>
          <w:p w14:paraId="7079149B" w14:textId="466CEE18" w:rsidR="00A4780D" w:rsidRDefault="00A4780D" w:rsidP="00A4780D">
            <w:pPr>
              <w:pStyle w:val="BodyText"/>
            </w:pPr>
            <w:r>
              <w:t>Start</w:t>
            </w:r>
          </w:p>
        </w:tc>
        <w:tc>
          <w:tcPr>
            <w:tcW w:w="3117" w:type="dxa"/>
          </w:tcPr>
          <w:p w14:paraId="70187884" w14:textId="35EBADCA" w:rsidR="00A4780D" w:rsidRDefault="00A4780D" w:rsidP="00A4780D">
            <w:pPr>
              <w:pStyle w:val="BodyText"/>
            </w:pPr>
            <w:r>
              <w:t>Finish</w:t>
            </w:r>
          </w:p>
        </w:tc>
      </w:tr>
      <w:tr w:rsidR="00A4780D" w14:paraId="393CD12D" w14:textId="77777777" w:rsidTr="00A4780D">
        <w:tc>
          <w:tcPr>
            <w:tcW w:w="3116" w:type="dxa"/>
          </w:tcPr>
          <w:p w14:paraId="6B35616B" w14:textId="40311036" w:rsidR="00A4780D" w:rsidRDefault="00A4780D" w:rsidP="00A4780D">
            <w:pPr>
              <w:pStyle w:val="BodyText"/>
            </w:pPr>
            <w:r>
              <w:t>Launch, Options Appraisal</w:t>
            </w:r>
          </w:p>
        </w:tc>
        <w:tc>
          <w:tcPr>
            <w:tcW w:w="3117" w:type="dxa"/>
          </w:tcPr>
          <w:p w14:paraId="79E745C5" w14:textId="66A3DB60" w:rsidR="00A4780D" w:rsidRDefault="00A4780D" w:rsidP="00A4780D">
            <w:pPr>
              <w:pStyle w:val="BodyText"/>
            </w:pPr>
            <w:r>
              <w:t>May 2026</w:t>
            </w:r>
          </w:p>
        </w:tc>
        <w:tc>
          <w:tcPr>
            <w:tcW w:w="3117" w:type="dxa"/>
          </w:tcPr>
          <w:p w14:paraId="386C992B" w14:textId="47C94417" w:rsidR="00A4780D" w:rsidRDefault="00A4780D" w:rsidP="00A4780D">
            <w:pPr>
              <w:pStyle w:val="BodyText"/>
            </w:pPr>
            <w:r>
              <w:t>August 2026</w:t>
            </w:r>
          </w:p>
        </w:tc>
      </w:tr>
      <w:tr w:rsidR="00A4780D" w14:paraId="6AEE49A1" w14:textId="77777777" w:rsidTr="00A4780D">
        <w:tc>
          <w:tcPr>
            <w:tcW w:w="3116" w:type="dxa"/>
          </w:tcPr>
          <w:p w14:paraId="6D317AEB" w14:textId="42C3AC36" w:rsidR="00A4780D" w:rsidRDefault="00A4780D" w:rsidP="00A4780D">
            <w:pPr>
              <w:pStyle w:val="BodyText"/>
            </w:pPr>
            <w:r>
              <w:t>Feasibility Studies to first pre-app</w:t>
            </w:r>
          </w:p>
        </w:tc>
        <w:tc>
          <w:tcPr>
            <w:tcW w:w="3117" w:type="dxa"/>
          </w:tcPr>
          <w:p w14:paraId="1E4585D4" w14:textId="38F1D84F" w:rsidR="00A4780D" w:rsidRDefault="00A4780D" w:rsidP="00A4780D">
            <w:pPr>
              <w:pStyle w:val="BodyText"/>
            </w:pPr>
            <w:r>
              <w:t>September 2026</w:t>
            </w:r>
          </w:p>
        </w:tc>
        <w:tc>
          <w:tcPr>
            <w:tcW w:w="3117" w:type="dxa"/>
          </w:tcPr>
          <w:p w14:paraId="6C2BE49D" w14:textId="0EFF0A01" w:rsidR="00A4780D" w:rsidRDefault="00A4780D" w:rsidP="00A4780D">
            <w:pPr>
              <w:pStyle w:val="BodyText"/>
            </w:pPr>
            <w:r>
              <w:t>February 2027</w:t>
            </w:r>
          </w:p>
        </w:tc>
      </w:tr>
      <w:tr w:rsidR="00A4780D" w14:paraId="6A630CAC" w14:textId="77777777" w:rsidTr="00A4780D">
        <w:tc>
          <w:tcPr>
            <w:tcW w:w="3116" w:type="dxa"/>
          </w:tcPr>
          <w:p w14:paraId="528B8339" w14:textId="4122AC23" w:rsidR="00A4780D" w:rsidRDefault="00A4780D" w:rsidP="00A4780D">
            <w:pPr>
              <w:pStyle w:val="BodyText"/>
            </w:pPr>
            <w:r>
              <w:t>Design to planning, planning-related stakeholder engagement</w:t>
            </w:r>
          </w:p>
        </w:tc>
        <w:tc>
          <w:tcPr>
            <w:tcW w:w="3117" w:type="dxa"/>
          </w:tcPr>
          <w:p w14:paraId="4D360489" w14:textId="588D3B78" w:rsidR="00A4780D" w:rsidRDefault="00A4780D" w:rsidP="00A4780D">
            <w:pPr>
              <w:pStyle w:val="BodyText"/>
            </w:pPr>
            <w:r>
              <w:t>March 2027</w:t>
            </w:r>
          </w:p>
        </w:tc>
        <w:tc>
          <w:tcPr>
            <w:tcW w:w="3117" w:type="dxa"/>
          </w:tcPr>
          <w:p w14:paraId="2C58EC03" w14:textId="2BABFA42" w:rsidR="00A4780D" w:rsidRDefault="00A4780D" w:rsidP="00A4780D">
            <w:pPr>
              <w:pStyle w:val="BodyText"/>
            </w:pPr>
            <w:r>
              <w:t>July 2027</w:t>
            </w:r>
          </w:p>
        </w:tc>
      </w:tr>
      <w:tr w:rsidR="00A4780D" w14:paraId="03F34B54" w14:textId="77777777" w:rsidTr="00A4780D">
        <w:tc>
          <w:tcPr>
            <w:tcW w:w="3116" w:type="dxa"/>
          </w:tcPr>
          <w:p w14:paraId="74EA1DAA" w14:textId="4475139F" w:rsidR="00A4780D" w:rsidRDefault="00A4780D" w:rsidP="00A4780D">
            <w:pPr>
              <w:pStyle w:val="BodyText"/>
            </w:pPr>
            <w:r>
              <w:t>Planning &amp; other consents</w:t>
            </w:r>
          </w:p>
        </w:tc>
        <w:tc>
          <w:tcPr>
            <w:tcW w:w="3117" w:type="dxa"/>
          </w:tcPr>
          <w:p w14:paraId="5480F446" w14:textId="4564E133" w:rsidR="00A4780D" w:rsidRDefault="00A4780D" w:rsidP="00A4780D">
            <w:pPr>
              <w:pStyle w:val="BodyText"/>
            </w:pPr>
            <w:r>
              <w:t>August 2027</w:t>
            </w:r>
          </w:p>
        </w:tc>
        <w:tc>
          <w:tcPr>
            <w:tcW w:w="3117" w:type="dxa"/>
          </w:tcPr>
          <w:p w14:paraId="72280276" w14:textId="6BA414AA" w:rsidR="00A4780D" w:rsidRDefault="00A4780D" w:rsidP="00A4780D">
            <w:pPr>
              <w:pStyle w:val="BodyText"/>
            </w:pPr>
            <w:r>
              <w:t>December 2027</w:t>
            </w:r>
          </w:p>
        </w:tc>
      </w:tr>
      <w:tr w:rsidR="00A4780D" w14:paraId="63BDF74E" w14:textId="77777777" w:rsidTr="00A4780D">
        <w:tc>
          <w:tcPr>
            <w:tcW w:w="3116" w:type="dxa"/>
          </w:tcPr>
          <w:p w14:paraId="279D7CB4" w14:textId="5951FA45" w:rsidR="00A4780D" w:rsidRDefault="00A4780D" w:rsidP="00A4780D">
            <w:pPr>
              <w:pStyle w:val="BodyText"/>
            </w:pPr>
            <w:r>
              <w:t>Detailed design, procurement</w:t>
            </w:r>
          </w:p>
        </w:tc>
        <w:tc>
          <w:tcPr>
            <w:tcW w:w="3117" w:type="dxa"/>
          </w:tcPr>
          <w:p w14:paraId="5FC5DF27" w14:textId="1C22838E" w:rsidR="00A4780D" w:rsidRDefault="00A4780D" w:rsidP="00A4780D">
            <w:pPr>
              <w:pStyle w:val="BodyText"/>
            </w:pPr>
            <w:r>
              <w:t>January 2028</w:t>
            </w:r>
          </w:p>
        </w:tc>
        <w:tc>
          <w:tcPr>
            <w:tcW w:w="3117" w:type="dxa"/>
          </w:tcPr>
          <w:p w14:paraId="450ECC3C" w14:textId="455837F0" w:rsidR="00A4780D" w:rsidRDefault="00A4780D" w:rsidP="00A4780D">
            <w:pPr>
              <w:pStyle w:val="BodyText"/>
            </w:pPr>
            <w:r>
              <w:t>September 2028</w:t>
            </w:r>
          </w:p>
        </w:tc>
      </w:tr>
      <w:tr w:rsidR="00A4780D" w14:paraId="47F7CA0E" w14:textId="77777777" w:rsidTr="00A4780D">
        <w:tc>
          <w:tcPr>
            <w:tcW w:w="3116" w:type="dxa"/>
          </w:tcPr>
          <w:p w14:paraId="2EDE9DBB" w14:textId="3A893BEC" w:rsidR="00A4780D" w:rsidRDefault="00A4780D" w:rsidP="00A4780D">
            <w:pPr>
              <w:pStyle w:val="BodyText"/>
            </w:pPr>
            <w:r>
              <w:t>Construction</w:t>
            </w:r>
          </w:p>
        </w:tc>
        <w:tc>
          <w:tcPr>
            <w:tcW w:w="3117" w:type="dxa"/>
          </w:tcPr>
          <w:p w14:paraId="2D55CEEC" w14:textId="61B9D45B" w:rsidR="00A4780D" w:rsidRDefault="00A4780D" w:rsidP="00A4780D">
            <w:pPr>
              <w:pStyle w:val="BodyText"/>
            </w:pPr>
            <w:r>
              <w:t>October 2028</w:t>
            </w:r>
          </w:p>
        </w:tc>
        <w:tc>
          <w:tcPr>
            <w:tcW w:w="3117" w:type="dxa"/>
          </w:tcPr>
          <w:p w14:paraId="4FF01238" w14:textId="2601B8CD" w:rsidR="00A4780D" w:rsidRDefault="00A4780D" w:rsidP="00A4780D">
            <w:pPr>
              <w:pStyle w:val="BodyText"/>
            </w:pPr>
            <w:r>
              <w:t>Spring 2031</w:t>
            </w:r>
          </w:p>
        </w:tc>
      </w:tr>
      <w:tr w:rsidR="00A4780D" w14:paraId="11C10187" w14:textId="77777777" w:rsidTr="00A4780D">
        <w:tc>
          <w:tcPr>
            <w:tcW w:w="3116" w:type="dxa"/>
          </w:tcPr>
          <w:p w14:paraId="197EE1C0" w14:textId="7D2DAD41" w:rsidR="00A4780D" w:rsidRDefault="00A4780D" w:rsidP="00A4780D">
            <w:pPr>
              <w:pStyle w:val="BodyText"/>
            </w:pPr>
            <w:r>
              <w:t>Opening</w:t>
            </w:r>
          </w:p>
        </w:tc>
        <w:tc>
          <w:tcPr>
            <w:tcW w:w="3117" w:type="dxa"/>
          </w:tcPr>
          <w:p w14:paraId="33A73AF3" w14:textId="4DC4E892" w:rsidR="00A4780D" w:rsidRDefault="00A4780D" w:rsidP="00A4780D">
            <w:pPr>
              <w:pStyle w:val="BodyText"/>
            </w:pPr>
            <w:r>
              <w:t>Summer 2031</w:t>
            </w:r>
          </w:p>
        </w:tc>
        <w:tc>
          <w:tcPr>
            <w:tcW w:w="3117" w:type="dxa"/>
          </w:tcPr>
          <w:p w14:paraId="318D3899" w14:textId="77777777" w:rsidR="00A4780D" w:rsidRDefault="00A4780D" w:rsidP="00A4780D">
            <w:pPr>
              <w:pStyle w:val="BodyText"/>
            </w:pPr>
          </w:p>
        </w:tc>
      </w:tr>
    </w:tbl>
    <w:p w14:paraId="05FDD15E" w14:textId="77777777" w:rsidR="00A4780D" w:rsidRPr="004676B1" w:rsidRDefault="00A4780D" w:rsidP="004676B1">
      <w:pPr>
        <w:pStyle w:val="BodyText"/>
      </w:pPr>
    </w:p>
    <w:p w14:paraId="2869C130" w14:textId="77777777" w:rsidR="003967A8" w:rsidRDefault="00B86E88">
      <w:pPr>
        <w:pStyle w:val="Heading2"/>
      </w:pPr>
      <w:bookmarkStart w:id="16" w:name="budget-and-value-for-money"/>
      <w:bookmarkEnd w:id="15"/>
      <w:r>
        <w:t>9. Budget and Value for Money</w:t>
      </w:r>
    </w:p>
    <w:p w14:paraId="418F1C6B" w14:textId="77777777" w:rsidR="00943D8D" w:rsidRPr="00943D8D" w:rsidRDefault="00943D8D" w:rsidP="00943D8D">
      <w:pPr>
        <w:pStyle w:val="FirstParagraph"/>
        <w:rPr>
          <w:sz w:val="22"/>
          <w:szCs w:val="22"/>
          <w:lang w:val="en-GB"/>
        </w:rPr>
      </w:pPr>
      <w:r w:rsidRPr="00943D8D">
        <w:rPr>
          <w:sz w:val="22"/>
          <w:szCs w:val="22"/>
          <w:lang w:val="en-GB"/>
        </w:rPr>
        <w:t>Bidders are required to provide a detailed fee proposal for delivery of the commission.</w:t>
      </w:r>
    </w:p>
    <w:p w14:paraId="2A421801" w14:textId="77777777" w:rsidR="00943D8D" w:rsidRPr="00943D8D" w:rsidRDefault="00943D8D" w:rsidP="00943D8D">
      <w:pPr>
        <w:pStyle w:val="FirstParagraph"/>
        <w:rPr>
          <w:sz w:val="22"/>
          <w:szCs w:val="22"/>
          <w:lang w:val="en-GB"/>
        </w:rPr>
      </w:pPr>
      <w:r w:rsidRPr="00943D8D">
        <w:rPr>
          <w:sz w:val="22"/>
          <w:szCs w:val="22"/>
          <w:lang w:val="en-GB"/>
        </w:rPr>
        <w:t>This should include:</w:t>
      </w:r>
    </w:p>
    <w:p w14:paraId="449F9DC1" w14:textId="77777777" w:rsidR="00943D8D" w:rsidRPr="00943D8D" w:rsidRDefault="00943D8D" w:rsidP="00943D8D">
      <w:pPr>
        <w:pStyle w:val="FirstParagraph"/>
        <w:numPr>
          <w:ilvl w:val="0"/>
          <w:numId w:val="16"/>
        </w:numPr>
        <w:rPr>
          <w:sz w:val="22"/>
          <w:szCs w:val="22"/>
          <w:lang w:val="en-GB"/>
        </w:rPr>
      </w:pPr>
      <w:r w:rsidRPr="00943D8D">
        <w:rPr>
          <w:sz w:val="22"/>
          <w:szCs w:val="22"/>
          <w:lang w:val="en-GB"/>
        </w:rPr>
        <w:t>Total cost for delivery of the commission</w:t>
      </w:r>
    </w:p>
    <w:p w14:paraId="3A73C237" w14:textId="77777777" w:rsidR="00943D8D" w:rsidRPr="00943D8D" w:rsidRDefault="00943D8D" w:rsidP="00943D8D">
      <w:pPr>
        <w:pStyle w:val="FirstParagraph"/>
        <w:numPr>
          <w:ilvl w:val="0"/>
          <w:numId w:val="16"/>
        </w:numPr>
        <w:rPr>
          <w:sz w:val="22"/>
          <w:szCs w:val="22"/>
          <w:lang w:val="en-GB"/>
        </w:rPr>
      </w:pPr>
      <w:r w:rsidRPr="00943D8D">
        <w:rPr>
          <w:sz w:val="22"/>
          <w:szCs w:val="22"/>
          <w:lang w:val="en-GB"/>
        </w:rPr>
        <w:t>Breakdown of fees by workstream, activity, or project phase</w:t>
      </w:r>
    </w:p>
    <w:p w14:paraId="05EE8E4D" w14:textId="77777777" w:rsidR="00943D8D" w:rsidRPr="00943D8D" w:rsidRDefault="00943D8D" w:rsidP="00943D8D">
      <w:pPr>
        <w:pStyle w:val="FirstParagraph"/>
        <w:numPr>
          <w:ilvl w:val="0"/>
          <w:numId w:val="16"/>
        </w:numPr>
        <w:rPr>
          <w:sz w:val="22"/>
          <w:szCs w:val="22"/>
          <w:lang w:val="en-GB"/>
        </w:rPr>
      </w:pPr>
      <w:r w:rsidRPr="00943D8D">
        <w:rPr>
          <w:sz w:val="22"/>
          <w:szCs w:val="22"/>
          <w:lang w:val="en-GB"/>
        </w:rPr>
        <w:t>Day rates by role and an indication of anticipated level of input</w:t>
      </w:r>
    </w:p>
    <w:p w14:paraId="2BD5DD0A" w14:textId="77777777" w:rsidR="00943D8D" w:rsidRPr="00943D8D" w:rsidRDefault="00943D8D" w:rsidP="00943D8D">
      <w:pPr>
        <w:pStyle w:val="FirstParagraph"/>
        <w:numPr>
          <w:ilvl w:val="0"/>
          <w:numId w:val="16"/>
        </w:numPr>
        <w:rPr>
          <w:sz w:val="22"/>
          <w:szCs w:val="22"/>
          <w:lang w:val="en-GB"/>
        </w:rPr>
      </w:pPr>
      <w:r w:rsidRPr="00943D8D">
        <w:rPr>
          <w:sz w:val="22"/>
          <w:szCs w:val="22"/>
          <w:lang w:val="en-GB"/>
        </w:rPr>
        <w:t>Any assumptions underpinning the pricing</w:t>
      </w:r>
    </w:p>
    <w:p w14:paraId="468DA3E5" w14:textId="77777777" w:rsidR="00943D8D" w:rsidRPr="00943D8D" w:rsidRDefault="00943D8D" w:rsidP="00943D8D">
      <w:pPr>
        <w:pStyle w:val="FirstParagraph"/>
        <w:numPr>
          <w:ilvl w:val="0"/>
          <w:numId w:val="16"/>
        </w:numPr>
        <w:rPr>
          <w:sz w:val="22"/>
          <w:szCs w:val="22"/>
          <w:lang w:val="en-GB"/>
        </w:rPr>
      </w:pPr>
      <w:r w:rsidRPr="00943D8D">
        <w:rPr>
          <w:sz w:val="22"/>
          <w:szCs w:val="22"/>
          <w:lang w:val="en-GB"/>
        </w:rPr>
        <w:t>Identification of any third-party or pass-through costs (e.g. design, print, advertising, digital)</w:t>
      </w:r>
    </w:p>
    <w:p w14:paraId="42D56B2C" w14:textId="77777777" w:rsidR="00943D8D" w:rsidRPr="00943D8D" w:rsidRDefault="00943D8D" w:rsidP="00943D8D">
      <w:pPr>
        <w:pStyle w:val="FirstParagraph"/>
        <w:rPr>
          <w:sz w:val="22"/>
          <w:szCs w:val="22"/>
          <w:lang w:val="en-GB"/>
        </w:rPr>
      </w:pPr>
      <w:r w:rsidRPr="00943D8D">
        <w:rPr>
          <w:sz w:val="22"/>
          <w:szCs w:val="22"/>
          <w:lang w:val="en-GB"/>
        </w:rPr>
        <w:lastRenderedPageBreak/>
        <w:t>Where appropriate, bidders are encouraged to present both a core scope aligned to the brief and a recommended programme, clearly identifying any variations in cost.</w:t>
      </w:r>
    </w:p>
    <w:p w14:paraId="107D4ECE" w14:textId="77777777" w:rsidR="00943D8D" w:rsidRPr="00943D8D" w:rsidRDefault="00943D8D" w:rsidP="00943D8D">
      <w:pPr>
        <w:pStyle w:val="FirstParagraph"/>
        <w:rPr>
          <w:sz w:val="22"/>
          <w:szCs w:val="22"/>
          <w:lang w:val="en-GB"/>
        </w:rPr>
      </w:pPr>
      <w:r w:rsidRPr="00943D8D">
        <w:rPr>
          <w:sz w:val="22"/>
          <w:szCs w:val="22"/>
          <w:lang w:val="en-GB"/>
        </w:rPr>
        <w:t>Bidders must demonstrate value for money and good stewardship of charitable resources.</w:t>
      </w:r>
    </w:p>
    <w:p w14:paraId="2869C134" w14:textId="77777777" w:rsidR="003967A8" w:rsidRDefault="00B86E88">
      <w:pPr>
        <w:pStyle w:val="Heading2"/>
      </w:pPr>
      <w:bookmarkStart w:id="17" w:name="proposal-submission-requirements"/>
      <w:bookmarkEnd w:id="16"/>
      <w:r>
        <w:t>10. Proposal Submission Requirements</w:t>
      </w:r>
    </w:p>
    <w:p w14:paraId="2869C135" w14:textId="77777777" w:rsidR="003967A8" w:rsidRPr="0040269B" w:rsidRDefault="00B86E88">
      <w:pPr>
        <w:pStyle w:val="FirstParagraph"/>
        <w:rPr>
          <w:sz w:val="22"/>
          <w:szCs w:val="22"/>
        </w:rPr>
      </w:pPr>
      <w:r w:rsidRPr="0040269B">
        <w:rPr>
          <w:sz w:val="22"/>
          <w:szCs w:val="22"/>
        </w:rPr>
        <w:t>Proposals should include:</w:t>
      </w:r>
    </w:p>
    <w:p w14:paraId="2869C136" w14:textId="77777777" w:rsidR="003967A8" w:rsidRPr="0040269B" w:rsidRDefault="00B86E88">
      <w:pPr>
        <w:pStyle w:val="Compact"/>
        <w:numPr>
          <w:ilvl w:val="0"/>
          <w:numId w:val="13"/>
        </w:numPr>
        <w:rPr>
          <w:sz w:val="22"/>
          <w:szCs w:val="22"/>
        </w:rPr>
      </w:pPr>
      <w:proofErr w:type="spellStart"/>
      <w:r w:rsidRPr="0040269B">
        <w:rPr>
          <w:sz w:val="22"/>
          <w:szCs w:val="22"/>
        </w:rPr>
        <w:t>Organisational</w:t>
      </w:r>
      <w:proofErr w:type="spellEnd"/>
      <w:r w:rsidRPr="0040269B">
        <w:rPr>
          <w:sz w:val="22"/>
          <w:szCs w:val="22"/>
        </w:rPr>
        <w:t xml:space="preserve"> profile and legal status</w:t>
      </w:r>
    </w:p>
    <w:p w14:paraId="2869C137" w14:textId="77777777" w:rsidR="003967A8" w:rsidRPr="0040269B" w:rsidRDefault="00B86E88">
      <w:pPr>
        <w:pStyle w:val="Compact"/>
        <w:numPr>
          <w:ilvl w:val="0"/>
          <w:numId w:val="13"/>
        </w:numPr>
        <w:rPr>
          <w:sz w:val="22"/>
          <w:szCs w:val="22"/>
        </w:rPr>
      </w:pPr>
      <w:r w:rsidRPr="0040269B">
        <w:rPr>
          <w:sz w:val="22"/>
          <w:szCs w:val="22"/>
        </w:rPr>
        <w:t>Relevant experience and case studies</w:t>
      </w:r>
    </w:p>
    <w:p w14:paraId="2869C138" w14:textId="77777777" w:rsidR="003967A8" w:rsidRPr="0040269B" w:rsidRDefault="00B86E88">
      <w:pPr>
        <w:pStyle w:val="Compact"/>
        <w:numPr>
          <w:ilvl w:val="0"/>
          <w:numId w:val="13"/>
        </w:numPr>
        <w:rPr>
          <w:sz w:val="22"/>
          <w:szCs w:val="22"/>
        </w:rPr>
      </w:pPr>
      <w:r w:rsidRPr="0040269B">
        <w:rPr>
          <w:sz w:val="22"/>
          <w:szCs w:val="22"/>
        </w:rPr>
        <w:t>Proposed approach and methodology</w:t>
      </w:r>
    </w:p>
    <w:p w14:paraId="2869C139" w14:textId="77777777" w:rsidR="003967A8" w:rsidRPr="0040269B" w:rsidRDefault="00B86E88">
      <w:pPr>
        <w:pStyle w:val="Compact"/>
        <w:numPr>
          <w:ilvl w:val="0"/>
          <w:numId w:val="13"/>
        </w:numPr>
        <w:rPr>
          <w:sz w:val="22"/>
          <w:szCs w:val="22"/>
        </w:rPr>
      </w:pPr>
      <w:r w:rsidRPr="0040269B">
        <w:rPr>
          <w:sz w:val="22"/>
          <w:szCs w:val="22"/>
        </w:rPr>
        <w:t>Team structure and lead consultant</w:t>
      </w:r>
    </w:p>
    <w:p w14:paraId="2869C13A" w14:textId="77777777" w:rsidR="003967A8" w:rsidRPr="0040269B" w:rsidRDefault="00B86E88">
      <w:pPr>
        <w:pStyle w:val="Compact"/>
        <w:numPr>
          <w:ilvl w:val="0"/>
          <w:numId w:val="13"/>
        </w:numPr>
        <w:rPr>
          <w:sz w:val="22"/>
          <w:szCs w:val="22"/>
        </w:rPr>
      </w:pPr>
      <w:r w:rsidRPr="0040269B">
        <w:rPr>
          <w:sz w:val="22"/>
          <w:szCs w:val="22"/>
        </w:rPr>
        <w:t>Programme and level of input</w:t>
      </w:r>
    </w:p>
    <w:p w14:paraId="2869C13B" w14:textId="77777777" w:rsidR="003967A8" w:rsidRPr="0040269B" w:rsidRDefault="00B86E88">
      <w:pPr>
        <w:pStyle w:val="Compact"/>
        <w:numPr>
          <w:ilvl w:val="0"/>
          <w:numId w:val="13"/>
        </w:numPr>
        <w:rPr>
          <w:sz w:val="22"/>
          <w:szCs w:val="22"/>
        </w:rPr>
      </w:pPr>
      <w:r w:rsidRPr="0040269B">
        <w:rPr>
          <w:sz w:val="22"/>
          <w:szCs w:val="22"/>
        </w:rPr>
        <w:t>Fee proposal with clear cost breakdown</w:t>
      </w:r>
    </w:p>
    <w:p w14:paraId="2869C13C" w14:textId="77777777" w:rsidR="003967A8" w:rsidRPr="0040269B" w:rsidRDefault="00B86E88">
      <w:pPr>
        <w:pStyle w:val="Compact"/>
        <w:numPr>
          <w:ilvl w:val="0"/>
          <w:numId w:val="13"/>
        </w:numPr>
        <w:rPr>
          <w:sz w:val="22"/>
          <w:szCs w:val="22"/>
        </w:rPr>
      </w:pPr>
      <w:r w:rsidRPr="0040269B">
        <w:rPr>
          <w:sz w:val="22"/>
          <w:szCs w:val="22"/>
        </w:rPr>
        <w:t>Confirmation of availability</w:t>
      </w:r>
    </w:p>
    <w:p w14:paraId="2869C13D" w14:textId="77777777" w:rsidR="003967A8" w:rsidRPr="0040269B" w:rsidRDefault="00B86E88">
      <w:pPr>
        <w:pStyle w:val="Compact"/>
        <w:numPr>
          <w:ilvl w:val="0"/>
          <w:numId w:val="13"/>
        </w:numPr>
        <w:rPr>
          <w:sz w:val="22"/>
          <w:szCs w:val="22"/>
        </w:rPr>
      </w:pPr>
      <w:r w:rsidRPr="0040269B">
        <w:rPr>
          <w:sz w:val="22"/>
          <w:szCs w:val="22"/>
        </w:rPr>
        <w:t>At least two referees</w:t>
      </w:r>
    </w:p>
    <w:p w14:paraId="2869C13F" w14:textId="77777777" w:rsidR="003967A8" w:rsidRDefault="00B86E88">
      <w:pPr>
        <w:pStyle w:val="Heading2"/>
      </w:pPr>
      <w:bookmarkStart w:id="18" w:name="evaluation-criteria"/>
      <w:bookmarkEnd w:id="17"/>
      <w:r>
        <w:t>11. Evaluation Criteria</w:t>
      </w:r>
    </w:p>
    <w:p w14:paraId="2869C140" w14:textId="77777777" w:rsidR="003967A8" w:rsidRPr="0040269B" w:rsidRDefault="00B86E88">
      <w:pPr>
        <w:pStyle w:val="FirstParagraph"/>
        <w:rPr>
          <w:sz w:val="22"/>
          <w:szCs w:val="22"/>
        </w:rPr>
      </w:pPr>
      <w:r w:rsidRPr="0040269B">
        <w:rPr>
          <w:sz w:val="22"/>
          <w:szCs w:val="22"/>
        </w:rPr>
        <w:t>Proposals will be evaluated against the following weighted criteria:</w:t>
      </w:r>
    </w:p>
    <w:p w14:paraId="2869C141" w14:textId="77777777" w:rsidR="003967A8" w:rsidRPr="0040269B" w:rsidRDefault="00B86E88">
      <w:pPr>
        <w:pStyle w:val="Compact"/>
        <w:numPr>
          <w:ilvl w:val="0"/>
          <w:numId w:val="14"/>
        </w:numPr>
        <w:rPr>
          <w:sz w:val="22"/>
          <w:szCs w:val="22"/>
        </w:rPr>
      </w:pPr>
      <w:r w:rsidRPr="0040269B">
        <w:rPr>
          <w:sz w:val="22"/>
          <w:szCs w:val="22"/>
        </w:rPr>
        <w:t>Relevant experience and track record – 30%</w:t>
      </w:r>
    </w:p>
    <w:p w14:paraId="2869C142" w14:textId="77777777" w:rsidR="003967A8" w:rsidRPr="0040269B" w:rsidRDefault="00B86E88">
      <w:pPr>
        <w:pStyle w:val="Compact"/>
        <w:numPr>
          <w:ilvl w:val="0"/>
          <w:numId w:val="14"/>
        </w:numPr>
        <w:rPr>
          <w:sz w:val="22"/>
          <w:szCs w:val="22"/>
        </w:rPr>
      </w:pPr>
      <w:r w:rsidRPr="0040269B">
        <w:rPr>
          <w:sz w:val="22"/>
          <w:szCs w:val="22"/>
        </w:rPr>
        <w:t>Quality of proposed approach – 25%</w:t>
      </w:r>
    </w:p>
    <w:p w14:paraId="2869C143" w14:textId="77777777" w:rsidR="003967A8" w:rsidRPr="0040269B" w:rsidRDefault="00B86E88">
      <w:pPr>
        <w:pStyle w:val="Compact"/>
        <w:numPr>
          <w:ilvl w:val="0"/>
          <w:numId w:val="14"/>
        </w:numPr>
        <w:rPr>
          <w:sz w:val="22"/>
          <w:szCs w:val="22"/>
        </w:rPr>
      </w:pPr>
      <w:r w:rsidRPr="0040269B">
        <w:rPr>
          <w:sz w:val="22"/>
          <w:szCs w:val="22"/>
        </w:rPr>
        <w:t>Understanding of Church of England context – 20%</w:t>
      </w:r>
    </w:p>
    <w:p w14:paraId="2869C144" w14:textId="77777777" w:rsidR="003967A8" w:rsidRPr="0040269B" w:rsidRDefault="00B86E88">
      <w:pPr>
        <w:pStyle w:val="Compact"/>
        <w:numPr>
          <w:ilvl w:val="0"/>
          <w:numId w:val="14"/>
        </w:numPr>
        <w:rPr>
          <w:sz w:val="22"/>
          <w:szCs w:val="22"/>
        </w:rPr>
      </w:pPr>
      <w:r w:rsidRPr="0040269B">
        <w:rPr>
          <w:sz w:val="22"/>
          <w:szCs w:val="22"/>
        </w:rPr>
        <w:t>Value for money – 15%</w:t>
      </w:r>
    </w:p>
    <w:p w14:paraId="2869C145" w14:textId="77777777" w:rsidR="003967A8" w:rsidRPr="0040269B" w:rsidRDefault="00B86E88">
      <w:pPr>
        <w:pStyle w:val="Compact"/>
        <w:numPr>
          <w:ilvl w:val="0"/>
          <w:numId w:val="14"/>
        </w:numPr>
        <w:rPr>
          <w:sz w:val="22"/>
          <w:szCs w:val="22"/>
        </w:rPr>
      </w:pPr>
      <w:r w:rsidRPr="0040269B">
        <w:rPr>
          <w:sz w:val="22"/>
          <w:szCs w:val="22"/>
        </w:rPr>
        <w:t>Capacity and governance – 10%</w:t>
      </w:r>
    </w:p>
    <w:p w14:paraId="2869C147" w14:textId="77777777" w:rsidR="003967A8" w:rsidRDefault="00B86E88">
      <w:pPr>
        <w:pStyle w:val="Heading2"/>
      </w:pPr>
      <w:bookmarkStart w:id="19" w:name="governance-ethics-and-compliance"/>
      <w:bookmarkEnd w:id="18"/>
      <w:r>
        <w:t>12. Governance, Ethics, and Compliance</w:t>
      </w:r>
    </w:p>
    <w:p w14:paraId="2869C148" w14:textId="77777777" w:rsidR="003967A8" w:rsidRPr="0040269B" w:rsidRDefault="00B86E88">
      <w:pPr>
        <w:pStyle w:val="FirstParagraph"/>
        <w:rPr>
          <w:sz w:val="22"/>
          <w:szCs w:val="22"/>
        </w:rPr>
      </w:pPr>
      <w:proofErr w:type="gramStart"/>
      <w:r w:rsidRPr="0040269B">
        <w:rPr>
          <w:sz w:val="22"/>
          <w:szCs w:val="22"/>
        </w:rPr>
        <w:t>The</w:t>
      </w:r>
      <w:proofErr w:type="gramEnd"/>
      <w:r w:rsidRPr="0040269B">
        <w:rPr>
          <w:sz w:val="22"/>
          <w:szCs w:val="22"/>
        </w:rPr>
        <w:t xml:space="preserve"> successful consultant will be required to:</w:t>
      </w:r>
    </w:p>
    <w:p w14:paraId="2869C149" w14:textId="77777777" w:rsidR="003967A8" w:rsidRPr="0040269B" w:rsidRDefault="00B86E88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40269B">
        <w:rPr>
          <w:sz w:val="22"/>
          <w:szCs w:val="22"/>
        </w:rPr>
        <w:t>Work in accordance with Church of England values and codes of conduct</w:t>
      </w:r>
    </w:p>
    <w:p w14:paraId="2869C14A" w14:textId="77777777" w:rsidR="003967A8" w:rsidRPr="0040269B" w:rsidRDefault="00B86E88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40269B">
        <w:rPr>
          <w:sz w:val="22"/>
          <w:szCs w:val="22"/>
        </w:rPr>
        <w:t>Demonstrate commitment to equality, diversity, and inclusion</w:t>
      </w:r>
    </w:p>
    <w:p w14:paraId="2869C14B" w14:textId="77777777" w:rsidR="003967A8" w:rsidRPr="0040269B" w:rsidRDefault="00B86E88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40269B">
        <w:rPr>
          <w:sz w:val="22"/>
          <w:szCs w:val="22"/>
        </w:rPr>
        <w:t>Comply with safeguarding and data protection requirements</w:t>
      </w:r>
    </w:p>
    <w:p w14:paraId="2869C14C" w14:textId="77777777" w:rsidR="003967A8" w:rsidRPr="0040269B" w:rsidRDefault="00B86E88">
      <w:pPr>
        <w:pStyle w:val="Compact"/>
        <w:numPr>
          <w:ilvl w:val="0"/>
          <w:numId w:val="15"/>
        </w:numPr>
        <w:rPr>
          <w:sz w:val="22"/>
          <w:szCs w:val="22"/>
        </w:rPr>
      </w:pPr>
      <w:r w:rsidRPr="0040269B">
        <w:rPr>
          <w:sz w:val="22"/>
          <w:szCs w:val="22"/>
        </w:rPr>
        <w:t>Hold appropriate insurance cover</w:t>
      </w:r>
    </w:p>
    <w:p w14:paraId="2869C14E" w14:textId="77777777" w:rsidR="003967A8" w:rsidRDefault="00B86E88">
      <w:pPr>
        <w:pStyle w:val="Heading2"/>
      </w:pPr>
      <w:bookmarkStart w:id="20" w:name="submission-details"/>
      <w:bookmarkEnd w:id="19"/>
      <w:r>
        <w:t>13. Submission Details</w:t>
      </w:r>
    </w:p>
    <w:p w14:paraId="2869C14F" w14:textId="0E2EA003" w:rsidR="003967A8" w:rsidRPr="0040269B" w:rsidRDefault="00B86E88">
      <w:pPr>
        <w:pStyle w:val="FirstParagraph"/>
        <w:rPr>
          <w:sz w:val="22"/>
          <w:szCs w:val="22"/>
        </w:rPr>
      </w:pPr>
      <w:r w:rsidRPr="0040269B">
        <w:rPr>
          <w:sz w:val="22"/>
          <w:szCs w:val="22"/>
        </w:rPr>
        <w:t xml:space="preserve">Proposals should be submitted electronically by </w:t>
      </w:r>
      <w:r w:rsidR="00B81BA8">
        <w:rPr>
          <w:b/>
          <w:bCs/>
          <w:sz w:val="22"/>
          <w:szCs w:val="22"/>
        </w:rPr>
        <w:t>10</w:t>
      </w:r>
      <w:r w:rsidR="003A73EE" w:rsidRPr="00C00427">
        <w:rPr>
          <w:b/>
          <w:bCs/>
          <w:sz w:val="22"/>
          <w:szCs w:val="22"/>
        </w:rPr>
        <w:t xml:space="preserve"> April 2026</w:t>
      </w:r>
      <w:r w:rsidRPr="00924F82">
        <w:rPr>
          <w:sz w:val="22"/>
          <w:szCs w:val="22"/>
        </w:rPr>
        <w:t xml:space="preserve"> </w:t>
      </w:r>
      <w:r w:rsidRPr="0040269B">
        <w:rPr>
          <w:sz w:val="22"/>
          <w:szCs w:val="22"/>
        </w:rPr>
        <w:t>to:</w:t>
      </w:r>
    </w:p>
    <w:p w14:paraId="255D5D3B" w14:textId="77777777" w:rsidR="00746368" w:rsidRPr="0040269B" w:rsidRDefault="00746368">
      <w:pPr>
        <w:pStyle w:val="BodyText"/>
        <w:rPr>
          <w:sz w:val="22"/>
          <w:szCs w:val="22"/>
        </w:rPr>
      </w:pPr>
      <w:r w:rsidRPr="0040269B">
        <w:rPr>
          <w:sz w:val="22"/>
          <w:szCs w:val="22"/>
        </w:rPr>
        <w:t>Martin Kitara</w:t>
      </w:r>
    </w:p>
    <w:p w14:paraId="262F3F28" w14:textId="77777777" w:rsidR="00746368" w:rsidRPr="0040269B" w:rsidRDefault="00746368">
      <w:pPr>
        <w:pStyle w:val="BodyText"/>
        <w:rPr>
          <w:sz w:val="22"/>
          <w:szCs w:val="22"/>
        </w:rPr>
      </w:pPr>
      <w:r w:rsidRPr="0040269B">
        <w:rPr>
          <w:sz w:val="22"/>
          <w:szCs w:val="22"/>
        </w:rPr>
        <w:t>Communications Lead</w:t>
      </w:r>
    </w:p>
    <w:p w14:paraId="6508F779" w14:textId="35A05E5C" w:rsidR="00746368" w:rsidRPr="0040269B" w:rsidRDefault="00924F82">
      <w:pPr>
        <w:pStyle w:val="BodyText"/>
        <w:rPr>
          <w:sz w:val="22"/>
          <w:szCs w:val="22"/>
        </w:rPr>
      </w:pPr>
      <w:hyperlink r:id="rId11" w:history="1">
        <w:r w:rsidRPr="00924F82">
          <w:rPr>
            <w:rStyle w:val="Hyperlink"/>
            <w:sz w:val="22"/>
            <w:szCs w:val="22"/>
          </w:rPr>
          <w:t>communications@london.anglican.org</w:t>
        </w:r>
      </w:hyperlink>
      <w:r w:rsidR="00746368" w:rsidRPr="0040269B">
        <w:rPr>
          <w:sz w:val="22"/>
          <w:szCs w:val="22"/>
        </w:rPr>
        <w:t xml:space="preserve"> </w:t>
      </w:r>
    </w:p>
    <w:p w14:paraId="2869C151" w14:textId="49F20725" w:rsidR="003967A8" w:rsidRPr="0040269B" w:rsidRDefault="00B86E88">
      <w:pPr>
        <w:pStyle w:val="BodyText"/>
        <w:rPr>
          <w:sz w:val="22"/>
          <w:szCs w:val="22"/>
        </w:rPr>
      </w:pPr>
      <w:r w:rsidRPr="0040269B">
        <w:rPr>
          <w:sz w:val="22"/>
          <w:szCs w:val="22"/>
        </w:rPr>
        <w:t>Clarification questions should be submitted in writing by the stated deadline.</w:t>
      </w:r>
    </w:p>
    <w:p w14:paraId="3C6CA153" w14:textId="5A659F01" w:rsidR="009F6B84" w:rsidRPr="0040269B" w:rsidRDefault="009F6B84" w:rsidP="007504F7">
      <w:pPr>
        <w:rPr>
          <w:sz w:val="22"/>
          <w:szCs w:val="22"/>
        </w:rPr>
      </w:pPr>
      <w:proofErr w:type="gramStart"/>
      <w:r w:rsidRPr="0040269B">
        <w:rPr>
          <w:sz w:val="22"/>
          <w:szCs w:val="22"/>
        </w:rPr>
        <w:lastRenderedPageBreak/>
        <w:t>On the basis of</w:t>
      </w:r>
      <w:proofErr w:type="gramEnd"/>
      <w:r w:rsidRPr="0040269B">
        <w:rPr>
          <w:sz w:val="22"/>
          <w:szCs w:val="22"/>
        </w:rPr>
        <w:t xml:space="preserve"> the response to the tender, we envisage making a shortlist of tenderers with whom we will meet prior to </w:t>
      </w:r>
      <w:proofErr w:type="gramStart"/>
      <w:r w:rsidRPr="0040269B">
        <w:rPr>
          <w:sz w:val="22"/>
          <w:szCs w:val="22"/>
        </w:rPr>
        <w:t>making a decision</w:t>
      </w:r>
      <w:proofErr w:type="gramEnd"/>
      <w:r w:rsidRPr="0040269B">
        <w:rPr>
          <w:sz w:val="22"/>
          <w:szCs w:val="22"/>
        </w:rPr>
        <w:t>. There is a formal tendering score</w:t>
      </w:r>
      <w:r w:rsidR="00DC145E" w:rsidRPr="0040269B">
        <w:rPr>
          <w:sz w:val="22"/>
          <w:szCs w:val="22"/>
        </w:rPr>
        <w:t xml:space="preserve"> based on the evaluation criteria above</w:t>
      </w:r>
      <w:r w:rsidRPr="0040269B">
        <w:rPr>
          <w:sz w:val="22"/>
          <w:szCs w:val="22"/>
        </w:rPr>
        <w:t xml:space="preserve"> that will be used to ensure equality of the tender process. We expect that the successful supplier to be appointed no later than </w:t>
      </w:r>
      <w:r w:rsidR="00952682" w:rsidRPr="00C00427">
        <w:rPr>
          <w:b/>
          <w:bCs/>
          <w:sz w:val="22"/>
          <w:szCs w:val="22"/>
        </w:rPr>
        <w:t>20</w:t>
      </w:r>
      <w:r w:rsidR="00177CFF" w:rsidRPr="00C00427">
        <w:rPr>
          <w:b/>
          <w:bCs/>
          <w:sz w:val="22"/>
          <w:szCs w:val="22"/>
        </w:rPr>
        <w:t xml:space="preserve"> April 2026</w:t>
      </w:r>
      <w:r w:rsidRPr="00952682">
        <w:rPr>
          <w:sz w:val="22"/>
          <w:szCs w:val="22"/>
        </w:rPr>
        <w:t xml:space="preserve"> </w:t>
      </w:r>
      <w:r w:rsidRPr="0040269B">
        <w:rPr>
          <w:sz w:val="22"/>
          <w:szCs w:val="22"/>
        </w:rPr>
        <w:t xml:space="preserve">and for the work to begin no later than </w:t>
      </w:r>
      <w:r w:rsidR="00FF1824" w:rsidRPr="00FF1824">
        <w:rPr>
          <w:b/>
          <w:bCs/>
          <w:sz w:val="22"/>
          <w:szCs w:val="22"/>
        </w:rPr>
        <w:t>05 May 2026.</w:t>
      </w:r>
    </w:p>
    <w:bookmarkEnd w:id="0"/>
    <w:bookmarkEnd w:id="20"/>
    <w:p w14:paraId="2869C153" w14:textId="3CCC89CC" w:rsidR="003967A8" w:rsidRDefault="003967A8">
      <w:pPr>
        <w:pStyle w:val="FirstParagraph"/>
        <w:rPr>
          <w:sz w:val="22"/>
          <w:szCs w:val="22"/>
        </w:rPr>
      </w:pPr>
    </w:p>
    <w:p w14:paraId="406EC389" w14:textId="77777777" w:rsidR="00A4780D" w:rsidRDefault="00A4780D" w:rsidP="00A4780D">
      <w:pPr>
        <w:pStyle w:val="BodyText"/>
      </w:pPr>
    </w:p>
    <w:p w14:paraId="395FD684" w14:textId="073F61F5" w:rsidR="00A4780D" w:rsidRPr="004676B1" w:rsidRDefault="00A4780D" w:rsidP="00A4780D">
      <w:pPr>
        <w:pStyle w:val="BodyText"/>
        <w:rPr>
          <w:b/>
          <w:bCs/>
        </w:rPr>
      </w:pPr>
      <w:r w:rsidRPr="004676B1">
        <w:rPr>
          <w:b/>
          <w:bCs/>
        </w:rPr>
        <w:t>Pricing Schedule (refer to section 9)</w:t>
      </w:r>
    </w:p>
    <w:p w14:paraId="27FAD083" w14:textId="77777777" w:rsidR="00A4780D" w:rsidRDefault="00A4780D" w:rsidP="00A4780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4780D" w14:paraId="13430BC0" w14:textId="77777777" w:rsidTr="00A4780D">
        <w:tc>
          <w:tcPr>
            <w:tcW w:w="3116" w:type="dxa"/>
          </w:tcPr>
          <w:p w14:paraId="59017C65" w14:textId="77777777" w:rsidR="00A4780D" w:rsidRDefault="00A4780D" w:rsidP="00A4780D">
            <w:pPr>
              <w:pStyle w:val="BodyText"/>
            </w:pPr>
          </w:p>
        </w:tc>
        <w:tc>
          <w:tcPr>
            <w:tcW w:w="3117" w:type="dxa"/>
          </w:tcPr>
          <w:p w14:paraId="290E02FD" w14:textId="33323509" w:rsidR="00A4780D" w:rsidRDefault="00A4780D" w:rsidP="00A4780D">
            <w:pPr>
              <w:pStyle w:val="BodyText"/>
            </w:pPr>
            <w:r>
              <w:t>Fee £</w:t>
            </w:r>
          </w:p>
        </w:tc>
        <w:tc>
          <w:tcPr>
            <w:tcW w:w="3117" w:type="dxa"/>
          </w:tcPr>
          <w:p w14:paraId="199564A7" w14:textId="620E8D5A" w:rsidR="00A4780D" w:rsidRDefault="00A4780D" w:rsidP="00A4780D">
            <w:pPr>
              <w:pStyle w:val="BodyText"/>
            </w:pPr>
            <w:r>
              <w:t>Resources</w:t>
            </w:r>
          </w:p>
        </w:tc>
      </w:tr>
      <w:tr w:rsidR="00A4780D" w14:paraId="4FC8D219" w14:textId="77777777" w:rsidTr="00A4780D">
        <w:tc>
          <w:tcPr>
            <w:tcW w:w="3116" w:type="dxa"/>
          </w:tcPr>
          <w:p w14:paraId="0E267741" w14:textId="55645D78" w:rsidR="00A4780D" w:rsidRDefault="00A4780D" w:rsidP="00A4780D">
            <w:pPr>
              <w:pStyle w:val="BodyText"/>
            </w:pPr>
            <w:r>
              <w:t>5.1 Strategy</w:t>
            </w:r>
          </w:p>
        </w:tc>
        <w:tc>
          <w:tcPr>
            <w:tcW w:w="3117" w:type="dxa"/>
          </w:tcPr>
          <w:p w14:paraId="74B9BC6C" w14:textId="77777777" w:rsidR="00A4780D" w:rsidRDefault="00A4780D" w:rsidP="00A4780D">
            <w:pPr>
              <w:pStyle w:val="BodyText"/>
            </w:pPr>
          </w:p>
        </w:tc>
        <w:tc>
          <w:tcPr>
            <w:tcW w:w="3117" w:type="dxa"/>
          </w:tcPr>
          <w:p w14:paraId="147E63D6" w14:textId="77777777" w:rsidR="00A4780D" w:rsidRDefault="00A4780D" w:rsidP="00A4780D">
            <w:pPr>
              <w:pStyle w:val="BodyText"/>
            </w:pPr>
          </w:p>
        </w:tc>
      </w:tr>
      <w:tr w:rsidR="00A4780D" w14:paraId="79662829" w14:textId="77777777" w:rsidTr="00A4780D">
        <w:tc>
          <w:tcPr>
            <w:tcW w:w="3116" w:type="dxa"/>
          </w:tcPr>
          <w:p w14:paraId="6630DC40" w14:textId="4646AFE5" w:rsidR="00A4780D" w:rsidRDefault="00A4780D" w:rsidP="00A4780D">
            <w:pPr>
              <w:pStyle w:val="BodyText"/>
            </w:pPr>
            <w:r>
              <w:t>5.2 Digital comms</w:t>
            </w:r>
          </w:p>
        </w:tc>
        <w:tc>
          <w:tcPr>
            <w:tcW w:w="3117" w:type="dxa"/>
          </w:tcPr>
          <w:p w14:paraId="7B7E74EA" w14:textId="77777777" w:rsidR="00A4780D" w:rsidRDefault="00A4780D" w:rsidP="00A4780D">
            <w:pPr>
              <w:pStyle w:val="BodyText"/>
            </w:pPr>
          </w:p>
        </w:tc>
        <w:tc>
          <w:tcPr>
            <w:tcW w:w="3117" w:type="dxa"/>
          </w:tcPr>
          <w:p w14:paraId="3D5823E7" w14:textId="77777777" w:rsidR="00A4780D" w:rsidRDefault="00A4780D" w:rsidP="00A4780D">
            <w:pPr>
              <w:pStyle w:val="BodyText"/>
            </w:pPr>
          </w:p>
        </w:tc>
      </w:tr>
      <w:tr w:rsidR="00A4780D" w14:paraId="58135464" w14:textId="77777777" w:rsidTr="00A4780D">
        <w:tc>
          <w:tcPr>
            <w:tcW w:w="3116" w:type="dxa"/>
          </w:tcPr>
          <w:p w14:paraId="5F1FA587" w14:textId="0F597D36" w:rsidR="00A4780D" w:rsidRDefault="00A4780D" w:rsidP="00A4780D">
            <w:pPr>
              <w:pStyle w:val="BodyText"/>
            </w:pPr>
            <w:r>
              <w:t>5.3 Engagement - initial</w:t>
            </w:r>
          </w:p>
        </w:tc>
        <w:tc>
          <w:tcPr>
            <w:tcW w:w="3117" w:type="dxa"/>
          </w:tcPr>
          <w:p w14:paraId="5C1E16F7" w14:textId="77777777" w:rsidR="00A4780D" w:rsidRDefault="00A4780D" w:rsidP="00A4780D">
            <w:pPr>
              <w:pStyle w:val="BodyText"/>
            </w:pPr>
          </w:p>
        </w:tc>
        <w:tc>
          <w:tcPr>
            <w:tcW w:w="3117" w:type="dxa"/>
          </w:tcPr>
          <w:p w14:paraId="0963E34A" w14:textId="77777777" w:rsidR="00A4780D" w:rsidRDefault="00A4780D" w:rsidP="00A4780D">
            <w:pPr>
              <w:pStyle w:val="BodyText"/>
            </w:pPr>
          </w:p>
        </w:tc>
      </w:tr>
      <w:tr w:rsidR="00A4780D" w14:paraId="54713E67" w14:textId="77777777" w:rsidTr="00A4780D">
        <w:tc>
          <w:tcPr>
            <w:tcW w:w="3116" w:type="dxa"/>
          </w:tcPr>
          <w:p w14:paraId="7899573E" w14:textId="76BDE462" w:rsidR="00A4780D" w:rsidRDefault="00A4780D" w:rsidP="00A4780D">
            <w:pPr>
              <w:pStyle w:val="BodyText"/>
            </w:pPr>
            <w:r>
              <w:t>5.4 Project Launch</w:t>
            </w:r>
          </w:p>
        </w:tc>
        <w:tc>
          <w:tcPr>
            <w:tcW w:w="3117" w:type="dxa"/>
          </w:tcPr>
          <w:p w14:paraId="2DB4DA57" w14:textId="77777777" w:rsidR="00A4780D" w:rsidRDefault="00A4780D" w:rsidP="00A4780D">
            <w:pPr>
              <w:pStyle w:val="BodyText"/>
            </w:pPr>
          </w:p>
        </w:tc>
        <w:tc>
          <w:tcPr>
            <w:tcW w:w="3117" w:type="dxa"/>
          </w:tcPr>
          <w:p w14:paraId="0E28F5FA" w14:textId="77777777" w:rsidR="00A4780D" w:rsidRDefault="00A4780D" w:rsidP="00A4780D">
            <w:pPr>
              <w:pStyle w:val="BodyText"/>
            </w:pPr>
          </w:p>
        </w:tc>
      </w:tr>
      <w:tr w:rsidR="00A4780D" w14:paraId="62DAC2D6" w14:textId="77777777" w:rsidTr="00A4780D">
        <w:tc>
          <w:tcPr>
            <w:tcW w:w="3116" w:type="dxa"/>
          </w:tcPr>
          <w:p w14:paraId="1773D34E" w14:textId="6444A1D6" w:rsidR="00A4780D" w:rsidRDefault="00A4780D" w:rsidP="00A4780D">
            <w:pPr>
              <w:pStyle w:val="BodyText"/>
            </w:pPr>
            <w:r>
              <w:t>5.5 Engagement – for planning</w:t>
            </w:r>
          </w:p>
        </w:tc>
        <w:tc>
          <w:tcPr>
            <w:tcW w:w="3117" w:type="dxa"/>
          </w:tcPr>
          <w:p w14:paraId="517E21AA" w14:textId="77777777" w:rsidR="00A4780D" w:rsidRDefault="00A4780D" w:rsidP="00A4780D">
            <w:pPr>
              <w:pStyle w:val="BodyText"/>
            </w:pPr>
          </w:p>
        </w:tc>
        <w:tc>
          <w:tcPr>
            <w:tcW w:w="3117" w:type="dxa"/>
          </w:tcPr>
          <w:p w14:paraId="6EDE57CA" w14:textId="77777777" w:rsidR="00A4780D" w:rsidRDefault="00A4780D" w:rsidP="00A4780D">
            <w:pPr>
              <w:pStyle w:val="BodyText"/>
            </w:pPr>
          </w:p>
        </w:tc>
      </w:tr>
      <w:tr w:rsidR="00A4780D" w14:paraId="2D8905FF" w14:textId="77777777" w:rsidTr="00A4780D">
        <w:tc>
          <w:tcPr>
            <w:tcW w:w="3116" w:type="dxa"/>
          </w:tcPr>
          <w:p w14:paraId="2A682EB7" w14:textId="355D03AD" w:rsidR="00A4780D" w:rsidRDefault="00A4780D" w:rsidP="00A4780D">
            <w:pPr>
              <w:pStyle w:val="BodyText"/>
            </w:pPr>
            <w:r>
              <w:t xml:space="preserve">5.6 Planning submission and consent </w:t>
            </w:r>
          </w:p>
        </w:tc>
        <w:tc>
          <w:tcPr>
            <w:tcW w:w="3117" w:type="dxa"/>
          </w:tcPr>
          <w:p w14:paraId="79D4EE28" w14:textId="77777777" w:rsidR="00A4780D" w:rsidRDefault="00A4780D" w:rsidP="00A4780D">
            <w:pPr>
              <w:pStyle w:val="BodyText"/>
            </w:pPr>
          </w:p>
        </w:tc>
        <w:tc>
          <w:tcPr>
            <w:tcW w:w="3117" w:type="dxa"/>
          </w:tcPr>
          <w:p w14:paraId="78C15FE6" w14:textId="77777777" w:rsidR="00A4780D" w:rsidRDefault="00A4780D" w:rsidP="00A4780D">
            <w:pPr>
              <w:pStyle w:val="BodyText"/>
            </w:pPr>
          </w:p>
        </w:tc>
      </w:tr>
      <w:tr w:rsidR="00A4780D" w14:paraId="3075F67E" w14:textId="77777777" w:rsidTr="00A4780D">
        <w:tc>
          <w:tcPr>
            <w:tcW w:w="3116" w:type="dxa"/>
          </w:tcPr>
          <w:p w14:paraId="50BB1EC4" w14:textId="3F7CDB66" w:rsidR="00A4780D" w:rsidRDefault="00A4780D" w:rsidP="00A4780D">
            <w:pPr>
              <w:pStyle w:val="BodyText"/>
            </w:pPr>
            <w:r>
              <w:t>Total</w:t>
            </w:r>
          </w:p>
        </w:tc>
        <w:tc>
          <w:tcPr>
            <w:tcW w:w="3117" w:type="dxa"/>
          </w:tcPr>
          <w:p w14:paraId="359835AC" w14:textId="77777777" w:rsidR="00A4780D" w:rsidRDefault="00A4780D" w:rsidP="00A4780D">
            <w:pPr>
              <w:pStyle w:val="BodyText"/>
            </w:pPr>
          </w:p>
        </w:tc>
        <w:tc>
          <w:tcPr>
            <w:tcW w:w="3117" w:type="dxa"/>
          </w:tcPr>
          <w:p w14:paraId="2B4FD39D" w14:textId="77777777" w:rsidR="00A4780D" w:rsidRDefault="00A4780D" w:rsidP="00A4780D">
            <w:pPr>
              <w:pStyle w:val="BodyText"/>
            </w:pPr>
          </w:p>
        </w:tc>
      </w:tr>
      <w:tr w:rsidR="00A4780D" w14:paraId="4C1157A0" w14:textId="77777777" w:rsidTr="00A4780D">
        <w:tc>
          <w:tcPr>
            <w:tcW w:w="3116" w:type="dxa"/>
          </w:tcPr>
          <w:p w14:paraId="4591BBC6" w14:textId="22A9F2FD" w:rsidR="00A4780D" w:rsidRDefault="00A4780D" w:rsidP="00A4780D">
            <w:pPr>
              <w:pStyle w:val="BodyText"/>
            </w:pPr>
            <w:r>
              <w:t>Any other recommended tasks not covered in brief</w:t>
            </w:r>
          </w:p>
        </w:tc>
        <w:tc>
          <w:tcPr>
            <w:tcW w:w="3117" w:type="dxa"/>
          </w:tcPr>
          <w:p w14:paraId="02DD6E8E" w14:textId="77777777" w:rsidR="00A4780D" w:rsidRDefault="00A4780D" w:rsidP="00A4780D">
            <w:pPr>
              <w:pStyle w:val="BodyText"/>
            </w:pPr>
          </w:p>
        </w:tc>
        <w:tc>
          <w:tcPr>
            <w:tcW w:w="3117" w:type="dxa"/>
          </w:tcPr>
          <w:p w14:paraId="03E6E5FA" w14:textId="77777777" w:rsidR="00A4780D" w:rsidRDefault="00A4780D" w:rsidP="00A4780D">
            <w:pPr>
              <w:pStyle w:val="BodyText"/>
            </w:pPr>
          </w:p>
        </w:tc>
      </w:tr>
    </w:tbl>
    <w:p w14:paraId="012FC44D" w14:textId="77777777" w:rsidR="00A4780D" w:rsidRPr="004676B1" w:rsidRDefault="00A4780D" w:rsidP="004676B1">
      <w:pPr>
        <w:pStyle w:val="BodyText"/>
      </w:pPr>
    </w:p>
    <w:sectPr w:rsidR="00A4780D" w:rsidRPr="004676B1" w:rsidSect="006400FA">
      <w:footerReference w:type="defaul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ECF4" w14:textId="77777777" w:rsidR="0054605F" w:rsidRDefault="0054605F" w:rsidP="00C92529">
      <w:pPr>
        <w:spacing w:after="0"/>
      </w:pPr>
      <w:r>
        <w:separator/>
      </w:r>
    </w:p>
  </w:endnote>
  <w:endnote w:type="continuationSeparator" w:id="0">
    <w:p w14:paraId="541C454D" w14:textId="77777777" w:rsidR="0054605F" w:rsidRDefault="0054605F" w:rsidP="00C925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512367"/>
      <w:docPartObj>
        <w:docPartGallery w:val="Page Numbers (Bottom of Page)"/>
        <w:docPartUnique/>
      </w:docPartObj>
    </w:sdtPr>
    <w:sdtEndPr/>
    <w:sdtContent>
      <w:p w14:paraId="5865F981" w14:textId="05AAE4C5" w:rsidR="00C92529" w:rsidRDefault="00C9252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D43C485" w14:textId="77777777" w:rsidR="00C92529" w:rsidRDefault="00C92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0260" w14:textId="77777777" w:rsidR="0054605F" w:rsidRDefault="0054605F" w:rsidP="00C92529">
      <w:pPr>
        <w:spacing w:after="0"/>
      </w:pPr>
      <w:r>
        <w:separator/>
      </w:r>
    </w:p>
  </w:footnote>
  <w:footnote w:type="continuationSeparator" w:id="0">
    <w:p w14:paraId="4D722E5F" w14:textId="77777777" w:rsidR="0054605F" w:rsidRDefault="0054605F" w:rsidP="00C925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28B28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5D287F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305F97"/>
    <w:multiLevelType w:val="multilevel"/>
    <w:tmpl w:val="D98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479C4"/>
    <w:multiLevelType w:val="multilevel"/>
    <w:tmpl w:val="3754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292410">
    <w:abstractNumId w:val="0"/>
  </w:num>
  <w:num w:numId="2" w16cid:durableId="1604680251">
    <w:abstractNumId w:val="1"/>
  </w:num>
  <w:num w:numId="3" w16cid:durableId="152068358">
    <w:abstractNumId w:val="1"/>
  </w:num>
  <w:num w:numId="4" w16cid:durableId="975451973">
    <w:abstractNumId w:val="1"/>
  </w:num>
  <w:num w:numId="5" w16cid:durableId="1849711082">
    <w:abstractNumId w:val="1"/>
  </w:num>
  <w:num w:numId="6" w16cid:durableId="1696030804">
    <w:abstractNumId w:val="1"/>
  </w:num>
  <w:num w:numId="7" w16cid:durableId="1663898572">
    <w:abstractNumId w:val="1"/>
  </w:num>
  <w:num w:numId="8" w16cid:durableId="1333685488">
    <w:abstractNumId w:val="1"/>
  </w:num>
  <w:num w:numId="9" w16cid:durableId="540827423">
    <w:abstractNumId w:val="1"/>
  </w:num>
  <w:num w:numId="10" w16cid:durableId="231355531">
    <w:abstractNumId w:val="1"/>
  </w:num>
  <w:num w:numId="11" w16cid:durableId="1556773324">
    <w:abstractNumId w:val="1"/>
  </w:num>
  <w:num w:numId="12" w16cid:durableId="1408192933">
    <w:abstractNumId w:val="1"/>
  </w:num>
  <w:num w:numId="13" w16cid:durableId="1185438336">
    <w:abstractNumId w:val="1"/>
  </w:num>
  <w:num w:numId="14" w16cid:durableId="1977100696">
    <w:abstractNumId w:val="1"/>
  </w:num>
  <w:num w:numId="15" w16cid:durableId="211694643">
    <w:abstractNumId w:val="1"/>
  </w:num>
  <w:num w:numId="16" w16cid:durableId="768545290">
    <w:abstractNumId w:val="3"/>
  </w:num>
  <w:num w:numId="17" w16cid:durableId="1054160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A8"/>
    <w:rsid w:val="000018C4"/>
    <w:rsid w:val="00007D94"/>
    <w:rsid w:val="00043525"/>
    <w:rsid w:val="00096C31"/>
    <w:rsid w:val="000E6C14"/>
    <w:rsid w:val="000F6937"/>
    <w:rsid w:val="00101918"/>
    <w:rsid w:val="00134AF0"/>
    <w:rsid w:val="00157620"/>
    <w:rsid w:val="00177CFF"/>
    <w:rsid w:val="001A414E"/>
    <w:rsid w:val="001A5243"/>
    <w:rsid w:val="001C02F2"/>
    <w:rsid w:val="001C12BB"/>
    <w:rsid w:val="001F7477"/>
    <w:rsid w:val="0020606D"/>
    <w:rsid w:val="002073D6"/>
    <w:rsid w:val="002314D5"/>
    <w:rsid w:val="00261BBF"/>
    <w:rsid w:val="00264220"/>
    <w:rsid w:val="002805CC"/>
    <w:rsid w:val="00281F7B"/>
    <w:rsid w:val="002E098C"/>
    <w:rsid w:val="0032431A"/>
    <w:rsid w:val="00333700"/>
    <w:rsid w:val="00335499"/>
    <w:rsid w:val="00345DE4"/>
    <w:rsid w:val="003461AA"/>
    <w:rsid w:val="003623A7"/>
    <w:rsid w:val="0036483E"/>
    <w:rsid w:val="00367A4C"/>
    <w:rsid w:val="003967A8"/>
    <w:rsid w:val="003A73EE"/>
    <w:rsid w:val="003D7330"/>
    <w:rsid w:val="003E1842"/>
    <w:rsid w:val="0040269B"/>
    <w:rsid w:val="00414DA5"/>
    <w:rsid w:val="00417C99"/>
    <w:rsid w:val="004327F6"/>
    <w:rsid w:val="00456583"/>
    <w:rsid w:val="00460507"/>
    <w:rsid w:val="004676B1"/>
    <w:rsid w:val="0047361A"/>
    <w:rsid w:val="00484C6D"/>
    <w:rsid w:val="004B2765"/>
    <w:rsid w:val="004B4FA7"/>
    <w:rsid w:val="004C1CAC"/>
    <w:rsid w:val="004E0F18"/>
    <w:rsid w:val="004E618E"/>
    <w:rsid w:val="0054605F"/>
    <w:rsid w:val="005530CD"/>
    <w:rsid w:val="005537A6"/>
    <w:rsid w:val="005668B0"/>
    <w:rsid w:val="00594279"/>
    <w:rsid w:val="0059450E"/>
    <w:rsid w:val="005B7EEA"/>
    <w:rsid w:val="005D4DBC"/>
    <w:rsid w:val="00604FB0"/>
    <w:rsid w:val="00627A0E"/>
    <w:rsid w:val="006400FA"/>
    <w:rsid w:val="0067522C"/>
    <w:rsid w:val="00681F03"/>
    <w:rsid w:val="006862C8"/>
    <w:rsid w:val="00692D1D"/>
    <w:rsid w:val="0069661E"/>
    <w:rsid w:val="006A1C7F"/>
    <w:rsid w:val="006B3EF0"/>
    <w:rsid w:val="006B7A1B"/>
    <w:rsid w:val="006C023A"/>
    <w:rsid w:val="006F1B2E"/>
    <w:rsid w:val="00733AEC"/>
    <w:rsid w:val="00746368"/>
    <w:rsid w:val="007504F7"/>
    <w:rsid w:val="0076551D"/>
    <w:rsid w:val="00775890"/>
    <w:rsid w:val="00795392"/>
    <w:rsid w:val="007A0385"/>
    <w:rsid w:val="007C01E1"/>
    <w:rsid w:val="007C27C1"/>
    <w:rsid w:val="007D0B6F"/>
    <w:rsid w:val="00800B38"/>
    <w:rsid w:val="00810905"/>
    <w:rsid w:val="008163DE"/>
    <w:rsid w:val="0086561A"/>
    <w:rsid w:val="00872191"/>
    <w:rsid w:val="008C7643"/>
    <w:rsid w:val="008D7937"/>
    <w:rsid w:val="008E1F0D"/>
    <w:rsid w:val="00923B0C"/>
    <w:rsid w:val="00924F82"/>
    <w:rsid w:val="00943D8D"/>
    <w:rsid w:val="00952682"/>
    <w:rsid w:val="00953BA9"/>
    <w:rsid w:val="00963C20"/>
    <w:rsid w:val="009776F9"/>
    <w:rsid w:val="009A7C63"/>
    <w:rsid w:val="009C295F"/>
    <w:rsid w:val="009C4BAA"/>
    <w:rsid w:val="009D182A"/>
    <w:rsid w:val="009D3B21"/>
    <w:rsid w:val="009D5B58"/>
    <w:rsid w:val="009F42B4"/>
    <w:rsid w:val="009F6B84"/>
    <w:rsid w:val="00A11E2E"/>
    <w:rsid w:val="00A4780D"/>
    <w:rsid w:val="00A70386"/>
    <w:rsid w:val="00A8572A"/>
    <w:rsid w:val="00AA51F5"/>
    <w:rsid w:val="00B23837"/>
    <w:rsid w:val="00B25B1A"/>
    <w:rsid w:val="00B81BA8"/>
    <w:rsid w:val="00B854BE"/>
    <w:rsid w:val="00B86E88"/>
    <w:rsid w:val="00B96194"/>
    <w:rsid w:val="00BB59B6"/>
    <w:rsid w:val="00BD1C61"/>
    <w:rsid w:val="00BF4398"/>
    <w:rsid w:val="00C00427"/>
    <w:rsid w:val="00C1428A"/>
    <w:rsid w:val="00C62E3E"/>
    <w:rsid w:val="00C71B93"/>
    <w:rsid w:val="00C729A7"/>
    <w:rsid w:val="00C80649"/>
    <w:rsid w:val="00C822AA"/>
    <w:rsid w:val="00C92529"/>
    <w:rsid w:val="00C93549"/>
    <w:rsid w:val="00CD28C9"/>
    <w:rsid w:val="00D37CBC"/>
    <w:rsid w:val="00D46672"/>
    <w:rsid w:val="00D4690F"/>
    <w:rsid w:val="00D620CB"/>
    <w:rsid w:val="00D647B2"/>
    <w:rsid w:val="00D725A4"/>
    <w:rsid w:val="00DB5C7F"/>
    <w:rsid w:val="00DC145E"/>
    <w:rsid w:val="00DD316C"/>
    <w:rsid w:val="00DE4D0E"/>
    <w:rsid w:val="00DF5299"/>
    <w:rsid w:val="00E209D1"/>
    <w:rsid w:val="00E34F6B"/>
    <w:rsid w:val="00E6146F"/>
    <w:rsid w:val="00E64618"/>
    <w:rsid w:val="00E66A63"/>
    <w:rsid w:val="00EB2759"/>
    <w:rsid w:val="00ED6D28"/>
    <w:rsid w:val="00EF3D15"/>
    <w:rsid w:val="00F02085"/>
    <w:rsid w:val="00F1383A"/>
    <w:rsid w:val="00F36D05"/>
    <w:rsid w:val="00F40E02"/>
    <w:rsid w:val="00F52989"/>
    <w:rsid w:val="00FB34A8"/>
    <w:rsid w:val="00FF1824"/>
    <w:rsid w:val="08ADF344"/>
    <w:rsid w:val="0BD6C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9C0C7"/>
  <w15:docId w15:val="{163B033A-FB12-437B-B063-351EDC74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463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B238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38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23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3837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C925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92529"/>
  </w:style>
  <w:style w:type="paragraph" w:styleId="Footer">
    <w:name w:val="footer"/>
    <w:basedOn w:val="Normal"/>
    <w:link w:val="FooterChar"/>
    <w:uiPriority w:val="99"/>
    <w:rsid w:val="00C9252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2529"/>
  </w:style>
  <w:style w:type="paragraph" w:styleId="NormalWeb">
    <w:name w:val="Normal (Web)"/>
    <w:basedOn w:val="Normal"/>
    <w:rsid w:val="004C1CAC"/>
    <w:rPr>
      <w:rFonts w:ascii="Times New Roman" w:hAnsi="Times New Roman" w:cs="Times New Roman"/>
    </w:rPr>
  </w:style>
  <w:style w:type="paragraph" w:styleId="Revision">
    <w:name w:val="Revision"/>
    <w:hidden/>
    <w:rsid w:val="004C1CAC"/>
    <w:pPr>
      <w:spacing w:after="0"/>
    </w:pPr>
  </w:style>
  <w:style w:type="character" w:customStyle="1" w:styleId="cf01">
    <w:name w:val="cf01"/>
    <w:basedOn w:val="DefaultParagraphFont"/>
    <w:rsid w:val="004E0F18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rsid w:val="00A478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cations@london.anglican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E54373612A418F55FE9D487F7AAA" ma:contentTypeVersion="14" ma:contentTypeDescription="Create a new document." ma:contentTypeScope="" ma:versionID="723e745ab6f42ce4dec1640420aa2898">
  <xsd:schema xmlns:xsd="http://www.w3.org/2001/XMLSchema" xmlns:xs="http://www.w3.org/2001/XMLSchema" xmlns:p="http://schemas.microsoft.com/office/2006/metadata/properties" xmlns:ns2="f550c6ee-4233-4fea-be15-04b3e89172e2" xmlns:ns3="40554050-474a-4e89-9203-0cfad5a5b2d6" xmlns:ns4="022398e3-5ad9-42ab-9f0b-fd8f5525c294" targetNamespace="http://schemas.microsoft.com/office/2006/metadata/properties" ma:root="true" ma:fieldsID="5b854c77af4a0354b1bf650a5301254e" ns2:_="" ns3:_="" ns4:_="">
    <xsd:import namespace="f550c6ee-4233-4fea-be15-04b3e89172e2"/>
    <xsd:import namespace="40554050-474a-4e89-9203-0cfad5a5b2d6"/>
    <xsd:import namespace="022398e3-5ad9-42ab-9f0b-fd8f5525c294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Doc_x0020_typ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0c6ee-4233-4fea-be15-04b3e89172e2" elementFormDefault="qualified">
    <xsd:import namespace="http://schemas.microsoft.com/office/2006/documentManagement/types"/>
    <xsd:import namespace="http://schemas.microsoft.com/office/infopath/2007/PartnerControls"/>
    <xsd:element name="Team" ma:index="8" nillable="true" ma:displayName="Team" ma:format="Dropdown" ma:internalName="Team">
      <xsd:simpleType>
        <xsd:restriction base="dms:Choice">
          <xsd:enumeration value="ALMA"/>
          <xsd:enumeration value="Area Teams"/>
          <xsd:enumeration value="Bishop Sarah"/>
          <xsd:enumeration value="Children and youth"/>
          <xsd:enumeration value="Compassionate Communities"/>
          <xsd:enumeration value="Confident Disciples"/>
          <xsd:enumeration value="Creative Growth"/>
          <xsd:enumeration value="Disability Minsitry"/>
          <xsd:enumeration value="Finance"/>
          <xsd:enumeration value="Governance"/>
          <xsd:enumeration value="Housing"/>
          <xsd:enumeration value="Internal LDF staff"/>
          <xsd:enumeration value="HR"/>
          <xsd:enumeration value="IT"/>
          <xsd:enumeration value="Ministry"/>
          <xsd:enumeration value="Mission"/>
          <xsd:enumeration value="National team"/>
          <xsd:enumeration value="New York / Berlin"/>
          <xsd:enumeration value="NZC"/>
          <xsd:enumeration value="Property"/>
          <xsd:enumeration value="Racial Justice"/>
          <xsd:enumeration value="Safeguarding"/>
          <xsd:enumeration value="Vision and strategy"/>
        </xsd:restriction>
      </xsd:simpleType>
    </xsd:element>
    <xsd:element name="Doc_x0020_type" ma:index="9" nillable="true" ma:displayName="Doc type" ma:format="Dropdown" ma:internalName="Doc_x0020_type">
      <xsd:simpleType>
        <xsd:restriction base="dms:Choice">
          <xsd:enumeration value="Article"/>
          <xsd:enumeration value="Press release"/>
          <xsd:enumeration value="Webpage content"/>
          <xsd:enumeration value="Resource"/>
          <xsd:enumeration value="Promotional material"/>
          <xsd:enumeration value="Expenses"/>
          <xsd:enumeration value="License"/>
          <xsd:enumeration value="Permission form"/>
          <xsd:enumeration value="Presentation"/>
          <xsd:enumeration value="Instructional"/>
          <xsd:enumeration value="Policy / guideline"/>
          <xsd:enumeration value="Data"/>
          <xsd:enumeration value="Meeting paper"/>
          <xsd:enumeration value="Agenda"/>
          <xsd:enumeration value="Meeting minutes"/>
          <xsd:enumeration value="Report"/>
          <xsd:enumeration value="Letter or messa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54050-474a-4e89-9203-0cfad5a5b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6acc64-6845-4a0f-a249-d12a5ba8c6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398e3-5ad9-42ab-9f0b-fd8f5525c2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f57f77d-55a7-496b-938d-f5fcd4829d92}" ma:internalName="TaxCatchAll" ma:showField="CatchAllData" ma:web="f550c6ee-4233-4fea-be15-04b3e891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54050-474a-4e89-9203-0cfad5a5b2d6">
      <Terms xmlns="http://schemas.microsoft.com/office/infopath/2007/PartnerControls"/>
    </lcf76f155ced4ddcb4097134ff3c332f>
    <TaxCatchAll xmlns="022398e3-5ad9-42ab-9f0b-fd8f5525c294"/>
    <Team xmlns="f550c6ee-4233-4fea-be15-04b3e89172e2" xsi:nil="true"/>
    <Doc_x0020_type xmlns="f550c6ee-4233-4fea-be15-04b3e89172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56acc64-6845-4a0f-a249-d12a5ba8c678" ContentTypeId="0x0101" PreviousValue="false" LastSyncTimeStamp="2025-01-31T17:50:11.21Z"/>
</file>

<file path=customXml/itemProps1.xml><?xml version="1.0" encoding="utf-8"?>
<ds:datastoreItem xmlns:ds="http://schemas.openxmlformats.org/officeDocument/2006/customXml" ds:itemID="{9C998DEE-1B4E-4443-9AC3-B2FBFDE61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0c6ee-4233-4fea-be15-04b3e89172e2"/>
    <ds:schemaRef ds:uri="40554050-474a-4e89-9203-0cfad5a5b2d6"/>
    <ds:schemaRef ds:uri="022398e3-5ad9-42ab-9f0b-fd8f5525c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96E69-7D7A-4F1E-B6F9-D2021A21FDDF}">
  <ds:schemaRefs>
    <ds:schemaRef ds:uri="http://schemas.microsoft.com/office/2006/metadata/properties"/>
    <ds:schemaRef ds:uri="http://schemas.microsoft.com/office/infopath/2007/PartnerControls"/>
    <ds:schemaRef ds:uri="40554050-474a-4e89-9203-0cfad5a5b2d6"/>
    <ds:schemaRef ds:uri="022398e3-5ad9-42ab-9f0b-fd8f5525c294"/>
    <ds:schemaRef ds:uri="f550c6ee-4233-4fea-be15-04b3e89172e2"/>
  </ds:schemaRefs>
</ds:datastoreItem>
</file>

<file path=customXml/itemProps3.xml><?xml version="1.0" encoding="utf-8"?>
<ds:datastoreItem xmlns:ds="http://schemas.openxmlformats.org/officeDocument/2006/customXml" ds:itemID="{7F5041EF-E510-4E28-8435-DC35E66A72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E7BBC-6C07-46D2-BBA4-F6E2D7767CB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Kitara</dc:creator>
  <cp:keywords/>
  <cp:lastModifiedBy>Michael Poulard</cp:lastModifiedBy>
  <cp:revision>3</cp:revision>
  <cp:lastPrinted>2026-03-05T16:10:00Z</cp:lastPrinted>
  <dcterms:created xsi:type="dcterms:W3CDTF">2026-03-23T14:06:00Z</dcterms:created>
  <dcterms:modified xsi:type="dcterms:W3CDTF">2026-03-23T14:08:00Z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0x010100EE8BE54373612A418F55FE9D487F7AAA</vt:lpwstr>
  </property>
  <property fmtid="{D5CDD505-2E9C-101B-9397-08002B2CF9AE}" pid="3" name="d1cb8ad55f3e4fe5bf3d56b4e36d540c">
    <vt:lpwstr/>
  </property>
  <property fmtid="{D5CDD505-2E9C-101B-9397-08002B2CF9AE}" pid="4" name="MediaServiceImageTags">
    <vt:lpwstr/>
  </property>
  <property fmtid="{D5CDD505-2E9C-101B-9397-08002B2CF9AE}" pid="5" name="File_x0020_Status">
    <vt:lpwstr/>
  </property>
  <property fmtid="{D5CDD505-2E9C-101B-9397-08002B2CF9AE}" pid="6" name="File Status">
    <vt:lpwstr/>
  </property>
  <property fmtid="{D5CDD505-2E9C-101B-9397-08002B2CF9AE}" pid="7" name="docLang">
    <vt:lpwstr>en</vt:lpwstr>
  </property>
  <property fmtid="{D5CDD505-2E9C-101B-9397-08002B2CF9AE}" pid="8" name="MSIP_Label_046c7e0b-6424-4515-881a-317401ddfe48_Enabled">
    <vt:lpwstr>true</vt:lpwstr>
  </property>
  <property fmtid="{D5CDD505-2E9C-101B-9397-08002B2CF9AE}" pid="9" name="MSIP_Label_046c7e0b-6424-4515-881a-317401ddfe48_SetDate">
    <vt:lpwstr>2026-02-05T09:31:36Z</vt:lpwstr>
  </property>
  <property fmtid="{D5CDD505-2E9C-101B-9397-08002B2CF9AE}" pid="10" name="MSIP_Label_046c7e0b-6424-4515-881a-317401ddfe48_Method">
    <vt:lpwstr>Standard</vt:lpwstr>
  </property>
  <property fmtid="{D5CDD505-2E9C-101B-9397-08002B2CF9AE}" pid="11" name="MSIP_Label_046c7e0b-6424-4515-881a-317401ddfe48_Name">
    <vt:lpwstr>Internal</vt:lpwstr>
  </property>
  <property fmtid="{D5CDD505-2E9C-101B-9397-08002B2CF9AE}" pid="12" name="MSIP_Label_046c7e0b-6424-4515-881a-317401ddfe48_SiteId">
    <vt:lpwstr>9e31a5e5-7206-4c38-9871-57319094b2c3</vt:lpwstr>
  </property>
  <property fmtid="{D5CDD505-2E9C-101B-9397-08002B2CF9AE}" pid="13" name="MSIP_Label_046c7e0b-6424-4515-881a-317401ddfe48_ActionId">
    <vt:lpwstr>fed7e902-7918-4cec-9474-f0aca5dfa405</vt:lpwstr>
  </property>
  <property fmtid="{D5CDD505-2E9C-101B-9397-08002B2CF9AE}" pid="14" name="MSIP_Label_046c7e0b-6424-4515-881a-317401ddfe48_ContentBits">
    <vt:lpwstr>0</vt:lpwstr>
  </property>
  <property fmtid="{D5CDD505-2E9C-101B-9397-08002B2CF9AE}" pid="15" name="MSIP_Label_046c7e0b-6424-4515-881a-317401ddfe48_Tag">
    <vt:lpwstr>10, 3, 0, 1</vt:lpwstr>
  </property>
  <property fmtid="{D5CDD505-2E9C-101B-9397-08002B2CF9AE}" pid="16" name="TaxCatchAll">
    <vt:lpwstr/>
  </property>
</Properties>
</file>